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Corio Norma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90"/>
        <w:gridCol w:w="901"/>
        <w:gridCol w:w="772"/>
        <w:gridCol w:w="598"/>
        <w:gridCol w:w="341"/>
        <w:gridCol w:w="1226"/>
        <w:gridCol w:w="436"/>
        <w:gridCol w:w="598"/>
        <w:gridCol w:w="1254"/>
        <w:gridCol w:w="974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71,408.58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9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1071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9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21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30,732.266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30,732.266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34,736.476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34,736.476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AlTi Global,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whole on the earlier of (i) the business day immediately prior to AlTi Global, Inc.'s 2026 annual general meeting or (ii)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whole on the earlier of (i) the business day immediately prior to AlTi Global, Inc.'s 2027 annual general meeting or (ii) June 30,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942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3620</Characters>
  <CharactersWithSpaces>4220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