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8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001-40103</w:t>
            </w:r>
          </w:p>
        </w:tc>
        <w:tc>
          <w:tcPr>
            <w:tcW w:w="22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92-1552220</w:t>
            </w:r>
          </w:p>
        </w:tc>
        <w:tc>
          <w:tcPr>
            <w:tcW w:w="0" w:type="dxa"/>
            <w:vAlign w:val="bottom"/>
          </w:tcPr>
          <w:p>
            <w:pPr>
              <w:spacing w:after="0"/>
              <w:rPr>
                <w:sz w:val="1"/>
                <w:szCs w:val="1"/>
                <w:color w:val="auto"/>
              </w:rPr>
            </w:pPr>
          </w:p>
        </w:tc>
      </w:tr>
      <w:tr>
        <w:trPr>
          <w:trHeight w:val="216"/>
        </w:trPr>
        <w:tc>
          <w:tcPr>
            <w:tcW w:w="38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0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2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38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0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2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 Vanderbilt Ave, 27th Floor</w:t>
            </w:r>
          </w:p>
        </w:tc>
        <w:tc>
          <w:tcPr>
            <w:tcW w:w="3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24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10017</w:t>
            </w:r>
          </w:p>
        </w:tc>
        <w:tc>
          <w:tcPr>
            <w:tcW w:w="0" w:type="dxa"/>
            <w:vAlign w:val="bottom"/>
          </w:tcPr>
          <w:p>
            <w:pPr>
              <w:spacing w:after="0"/>
              <w:rPr>
                <w:sz w:val="1"/>
                <w:szCs w:val="1"/>
                <w:color w:val="auto"/>
              </w:rPr>
            </w:pP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(212) 396-5900</w:t>
            </w:r>
          </w:p>
        </w:tc>
        <w:tc>
          <w:tcPr>
            <w:tcW w:w="22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2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180" w:type="dxa"/>
            <w:vAlign w:val="bottom"/>
          </w:tcPr>
          <w:p>
            <w:pPr>
              <w:spacing w:after="0"/>
              <w:rPr>
                <w:sz w:val="17"/>
                <w:szCs w:val="17"/>
                <w:color w:val="auto"/>
              </w:rPr>
            </w:pPr>
          </w:p>
        </w:tc>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ALTI</w:t>
            </w:r>
          </w:p>
        </w:tc>
        <w:tc>
          <w:tcPr>
            <w:tcW w:w="18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Nasdaq Capital Market</w:t>
            </w:r>
          </w:p>
        </w:tc>
      </w:tr>
      <w:tr>
        <w:trPr>
          <w:trHeight w:val="234"/>
        </w:trPr>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w:t>
            </w: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2026, the Company held its 2026 Annual Meeting of Stockholders (the “Annual Meeting”). The final voting results for the proposals submitted to the Company's stockholders for a vote at the Annual Meeting are set forth below. The Company’s stockholders considered and approved two proposals, each of which is described in detail in the Company’s definitive proxy statement for the Annual Meeting (the "Proxy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To vote to elect as directors the seven nominees named in the Proxy Statement for a term of office expiring at the 2027 Annual Meeting of Stockholders or until their respective successors are duly elected and qualified.</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Ali Bouzarif</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7"/>
              </w:rPr>
              <w:t>For</w:t>
            </w: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Withhold</w:t>
            </w:r>
          </w:p>
        </w:tc>
        <w:tc>
          <w:tcPr>
            <w:tcW w:w="1680" w:type="dxa"/>
            <w:vAlign w:val="bottom"/>
            <w:gridSpan w:val="2"/>
          </w:tcPr>
          <w:p>
            <w:pPr>
              <w:spacing w:after="0"/>
              <w:rPr>
                <w:sz w:val="17"/>
                <w:szCs w:val="17"/>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Broker Non-Vote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60" w:type="dxa"/>
            <w:vAlign w:val="bottom"/>
            <w:vMerge w:val="continue"/>
          </w:tcPr>
          <w:p>
            <w:pPr>
              <w:spacing w:after="0"/>
              <w:rPr>
                <w:sz w:val="22"/>
                <w:szCs w:val="22"/>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68,208,164</w:t>
            </w: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13,188,748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Nazim Cetin</w:t>
            </w:r>
          </w:p>
        </w:tc>
        <w:tc>
          <w:tcPr>
            <w:tcW w:w="20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60,758,230</w:t>
            </w:r>
          </w:p>
        </w:tc>
        <w:tc>
          <w:tcPr>
            <w:tcW w:w="320" w:type="dxa"/>
            <w:vAlign w:val="bottom"/>
          </w:tcPr>
          <w:p>
            <w:pPr>
              <w:spacing w:after="0"/>
              <w:rPr>
                <w:sz w:val="19"/>
                <w:szCs w:val="19"/>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20,638,682</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Norma Corio</w:t>
            </w: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56,875,518</w:t>
            </w:r>
          </w:p>
        </w:tc>
        <w:tc>
          <w:tcPr>
            <w:tcW w:w="32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24,521,394</w:t>
            </w:r>
          </w:p>
        </w:tc>
        <w:tc>
          <w:tcPr>
            <w:tcW w:w="3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Nancy Curtin</w:t>
            </w: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81,020,789</w:t>
            </w:r>
          </w:p>
        </w:tc>
        <w:tc>
          <w:tcPr>
            <w:tcW w:w="32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376,123</w:t>
            </w:r>
          </w:p>
        </w:tc>
        <w:tc>
          <w:tcPr>
            <w:tcW w:w="3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Mark Furlong</w:t>
            </w: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78,347,853</w:t>
            </w:r>
          </w:p>
        </w:tc>
        <w:tc>
          <w:tcPr>
            <w:tcW w:w="32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3,049,059</w:t>
            </w:r>
          </w:p>
        </w:tc>
        <w:tc>
          <w:tcPr>
            <w:tcW w:w="3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Timothy Keaney</w:t>
            </w: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60,847,928</w:t>
            </w:r>
          </w:p>
        </w:tc>
        <w:tc>
          <w:tcPr>
            <w:tcW w:w="32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20,548,984</w:t>
            </w:r>
          </w:p>
        </w:tc>
        <w:tc>
          <w:tcPr>
            <w:tcW w:w="3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Andreas Wimmer</w:t>
            </w: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72,837,500</w:t>
            </w:r>
          </w:p>
        </w:tc>
        <w:tc>
          <w:tcPr>
            <w:tcW w:w="32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8,559,412</w:t>
            </w:r>
          </w:p>
        </w:tc>
        <w:tc>
          <w:tcPr>
            <w:tcW w:w="3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14,751,499</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To ratify the appointment of KPMG LLP as the Company’s independent registered public accounting firm for the fiscal year ended December 31,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53"/>
        </w:trPr>
        <w:tc>
          <w:tcPr>
            <w:tcW w:w="2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93,116,677</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740,193</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2,291,541</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2640" w:type="dxa"/>
            <w:vAlign w:val="bottom"/>
          </w:tcPr>
          <w:p>
            <w:pPr>
              <w:spacing w:after="0"/>
              <w:rPr>
                <w:sz w:val="24"/>
                <w:szCs w:val="24"/>
                <w:color w:val="auto"/>
              </w:rPr>
            </w:pPr>
          </w:p>
        </w:tc>
      </w:tr>
      <w:tr>
        <w:trPr>
          <w:trHeight w:val="39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7"/>
          <w:szCs w:val="17"/>
          <w:b w:val="1"/>
          <w:bCs w:val="1"/>
          <w:color w:val="auto"/>
        </w:rPr>
        <w:t>ALTI GLOBAL, INC.</w:t>
      </w:r>
    </w:p>
    <w:p>
      <w:pPr>
        <w:spacing w:after="0" w:line="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Nancy Curtin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85725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Nancy Curtin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2026-06-18T06:54:53Z</dcterms:created>
  <dcterms:modified xsi:type="dcterms:W3CDTF">2026-06-18T06:54:53Z</dcterms:modified>
</cp:coreProperties>
</file>