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FURLONG MARK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ALTI GLOBAL,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 VANDERBILT AVE, 27TH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AlTi Global,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ALTI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36"/>
        <w:gridCol w:w="900"/>
        <w:gridCol w:w="771"/>
        <w:gridCol w:w="597"/>
        <w:gridCol w:w="339"/>
        <w:gridCol w:w="1225"/>
        <w:gridCol w:w="430"/>
        <w:gridCol w:w="593"/>
        <w:gridCol w:w="1337"/>
        <w:gridCol w:w="967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30,732.266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96,408.576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39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1071"/>
        <w:gridCol w:w="1071"/>
        <w:gridCol w:w="906"/>
        <w:gridCol w:w="801"/>
        <w:gridCol w:w="891"/>
        <w:gridCol w:w="12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9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21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30,732.266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30,732.266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34,736.476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34,736.476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34,736.476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AlTi Global, Inc.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whole on the earlier of (i) the business day immediately prior to AlTi Global, Inc.'s 2026 annual general meeting or (ii) June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in whole on the earlier of (i) the business day immediately prior to AlTi Global, Inc.'s 2027 annual general meeting or (ii) June 30,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Colleen Graham,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31355" TargetMode="External"/><Relationship Id="rId5" Type="http://schemas.openxmlformats.org/officeDocument/2006/relationships/hyperlink" Target="http://www.sec.gov/cgi-bin/browse-edgar?action=getcompany&amp;CIK=00018386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682</Words>
  <Characters>3623</Characters>
  <CharactersWithSpaces>4224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