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line="227"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92"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0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0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23, 2026</w:t>
      </w:r>
    </w:p>
    <w:p>
      <w:pPr>
        <w:spacing w:after="0" w:line="15"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7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AlTi Global, Inc.</w:t>
      </w:r>
    </w:p>
    <w:p>
      <w:pPr>
        <w:spacing w:after="0" w:line="4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ectPr>
          <w:pgSz w:w="11900" w:h="16838" w:orient="portrait"/>
          <w:cols w:equalWidth="0" w:num="1">
            <w:col w:w="10860"/>
          </w:cols>
          <w:pgMar w:left="320" w:top="1440" w:right="719" w:bottom="1440" w:gutter="0" w:footer="0" w:header="0"/>
        </w:sectPr>
      </w:pPr>
    </w:p>
    <w:p>
      <w:pPr>
        <w:spacing w:after="0" w:line="15"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001-40103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92-1552220</w:t>
      </w:r>
    </w:p>
    <w:p>
      <w:pPr>
        <w:spacing w:after="0" w:line="72" w:lineRule="exact"/>
        <w:rPr>
          <w:sz w:val="24"/>
          <w:szCs w:val="24"/>
          <w:color w:val="auto"/>
        </w:rPr>
      </w:pPr>
    </w:p>
    <w:p>
      <w:pPr>
        <w:sectPr>
          <w:pgSz w:w="11900" w:h="16838" w:orient="portrait"/>
          <w:cols w:equalWidth="0" w:num="3">
            <w:col w:w="4440" w:space="720"/>
            <w:col w:w="1160" w:space="720"/>
            <w:col w:w="3820"/>
          </w:cols>
          <w:pgMar w:left="320" w:top="1440" w:right="719" w:bottom="1440" w:gutter="0" w:footer="0" w:header="0"/>
          <w:type w:val="continuous"/>
        </w:sectPr>
      </w:pPr>
    </w:p>
    <w:p>
      <w:pPr>
        <w:jc w:val="center"/>
        <w:ind w:left="2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left="2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20" w:space="600"/>
            <w:col w:w="1060" w:space="720"/>
            <w:col w:w="3960"/>
          </w:cols>
          <w:pgMar w:left="320" w:top="1440" w:right="719" w:bottom="1440" w:gutter="0" w:footer="0" w:header="0"/>
          <w:type w:val="continuous"/>
        </w:sectPr>
      </w:pPr>
    </w:p>
    <w:p>
      <w:pPr>
        <w:spacing w:after="0" w:line="55"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7"/>
          <w:szCs w:val="17"/>
          <w:b w:val="1"/>
          <w:bCs w:val="1"/>
          <w:color w:val="auto"/>
        </w:rPr>
        <w:t>22 Vanderbilt Avenue, 27</w:t>
      </w:r>
      <w:r>
        <w:rPr>
          <w:rFonts w:ascii="Times New Roman" w:cs="Times New Roman" w:eastAsia="Times New Roman" w:hAnsi="Times New Roman"/>
          <w:sz w:val="11"/>
          <w:szCs w:val="11"/>
          <w:b w:val="1"/>
          <w:bCs w:val="1"/>
          <w:color w:val="auto"/>
        </w:rPr>
        <w:t>th</w:t>
      </w:r>
      <w:r>
        <w:rPr>
          <w:rFonts w:ascii="Times New Roman" w:cs="Times New Roman" w:eastAsia="Times New Roman" w:hAnsi="Times New Roman"/>
          <w:sz w:val="17"/>
          <w:szCs w:val="17"/>
          <w:b w:val="1"/>
          <w:bCs w:val="1"/>
          <w:color w:val="auto"/>
        </w:rPr>
        <w:t xml:space="preserve"> Floor New</w:t>
      </w:r>
    </w:p>
    <w:p>
      <w:pPr>
        <w:spacing w:after="0" w:line="31"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8"/>
          <w:szCs w:val="18"/>
          <w:b w:val="1"/>
          <w:bCs w:val="1"/>
          <w:color w:val="auto"/>
        </w:rPr>
        <w:t>York, New York</w:t>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10017</w:t>
      </w:r>
    </w:p>
    <w:p>
      <w:pPr>
        <w:spacing w:after="0" w:line="72" w:lineRule="exact"/>
        <w:rPr>
          <w:sz w:val="24"/>
          <w:szCs w:val="24"/>
          <w:color w:val="auto"/>
        </w:rPr>
      </w:pPr>
    </w:p>
    <w:p>
      <w:pPr>
        <w:sectPr>
          <w:pgSz w:w="11900" w:h="16838" w:orient="portrait"/>
          <w:cols w:equalWidth="0" w:num="2">
            <w:col w:w="6340" w:space="700"/>
            <w:col w:w="3820"/>
          </w:cols>
          <w:pgMar w:left="320" w:top="1440" w:right="719" w:bottom="1440" w:gutter="0" w:footer="0" w:header="0"/>
          <w:type w:val="continuous"/>
        </w:sectPr>
      </w:pPr>
    </w:p>
    <w:p>
      <w:pPr>
        <w:ind w:left="3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1" w:lineRule="exact"/>
        <w:rPr>
          <w:sz w:val="24"/>
          <w:szCs w:val="24"/>
          <w:color w:val="auto"/>
        </w:rPr>
      </w:pPr>
    </w:p>
    <w:p>
      <w:pPr>
        <w:sectPr>
          <w:pgSz w:w="11900" w:h="16838" w:orient="portrait"/>
          <w:cols w:equalWidth="0" w:num="2">
            <w:col w:w="6220" w:space="720"/>
            <w:col w:w="3920"/>
          </w:cols>
          <w:pgMar w:left="320" w:top="1440" w:right="719" w:bottom="1440" w:gutter="0" w:footer="0" w:header="0"/>
          <w:type w:val="continuous"/>
        </w:sect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(212) 396-5900</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20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243"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40" w:hanging="31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1118870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1440"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00"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494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0" w:type="dxa"/>
            <w:vAlign w:val="bottom"/>
            <w:gridSpan w:val="2"/>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190"/>
        </w:trPr>
        <w:tc>
          <w:tcPr>
            <w:tcW w:w="3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8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r>
      <w:tr>
        <w:trPr>
          <w:trHeight w:val="228"/>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106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ALTI</w:t>
            </w:r>
          </w:p>
        </w:tc>
        <w:tc>
          <w:tcPr>
            <w:tcW w:w="1000" w:type="dxa"/>
            <w:vAlign w:val="bottom"/>
          </w:tcPr>
          <w:p>
            <w:pPr>
              <w:spacing w:after="0"/>
              <w:rPr>
                <w:sz w:val="19"/>
                <w:szCs w:val="19"/>
                <w:color w:val="auto"/>
              </w:rPr>
            </w:pPr>
          </w:p>
        </w:tc>
        <w:tc>
          <w:tcPr>
            <w:tcW w:w="3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8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79"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22"/>
          <w:szCs w:val="22"/>
          <w:color w:val="auto"/>
        </w:rPr>
        <w:t>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1052195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04" w:right="499" w:bottom="1440" w:gutter="0" w:footer="0" w:header="0"/>
        </w:sectPr>
      </w:pPr>
    </w:p>
    <w:bookmarkStart w:id="2" w:name="page3"/>
    <w:bookmarkEnd w:id="2"/>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940"/>
        <w:spacing w:after="0" w:line="271" w:lineRule="auto"/>
        <w:rPr>
          <w:sz w:val="20"/>
          <w:szCs w:val="20"/>
          <w:color w:val="auto"/>
        </w:rPr>
      </w:pPr>
      <w:r>
        <w:rPr>
          <w:rFonts w:ascii="Times New Roman" w:cs="Times New Roman" w:eastAsia="Times New Roman" w:hAnsi="Times New Roman"/>
          <w:sz w:val="18"/>
          <w:szCs w:val="18"/>
          <w:b w:val="1"/>
          <w:bCs w:val="1"/>
          <w:color w:val="auto"/>
        </w:rPr>
        <w:t>Departure of Certain Officers; Election of Directors; Appointment of Certain Officers; Compensatory Arrangements of Certain Officers.</w:t>
      </w:r>
    </w:p>
    <w:p>
      <w:pPr>
        <w:spacing w:after="0" w:line="200" w:lineRule="exact"/>
        <w:rPr>
          <w:sz w:val="20"/>
          <w:szCs w:val="20"/>
          <w:color w:val="auto"/>
        </w:rPr>
      </w:pPr>
    </w:p>
    <w:p>
      <w:pPr>
        <w:sectPr>
          <w:pgSz w:w="11900" w:h="16838" w:orient="portrait"/>
          <w:cols w:equalWidth="0" w:num="2">
            <w:col w:w="760" w:space="720"/>
            <w:col w:w="9760"/>
          </w:cols>
          <w:pgMar w:left="320" w:top="1440" w:right="339" w:bottom="1440" w:gutter="0" w:footer="0" w:header="0"/>
        </w:sectPr>
      </w:pP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Financial Officer</w:t>
      </w:r>
    </w:p>
    <w:p>
      <w:pPr>
        <w:spacing w:after="0" w:line="241"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On June 23, 2026, Michael Harrington notified AlTi Global, Inc. (the “Company”) of his decision to retire from his position as Chief Financial Officer and principal financial officer of the Company, effective July 1, 2026. Mr. Harrington’s retirement follows discussions with the Company over the past several months regarding his planned transition and the Company’s succession planning for the role. In connection with Mr. Harrington’s transition and retirement, the Company and Mr. Harrington will enter into a retirement agreement.</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his departure, effective July 1, 2026, Mr. Harrington resigned from all officer and similar capacities with the Company and its subsidiaries.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Chief Financial Officer</w:t>
      </w:r>
    </w:p>
    <w:p>
      <w:pPr>
        <w:spacing w:after="0" w:line="24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June 24, 2026, the Board appointed Patrick Keenan as the Company’s Chief Financial Officer, effective July 1, 2026. In connection with Mr. Keenan’s appointment, the Company entered into a letter agreement with Mr. Keenan on June 24, 2026, setting forth the terms of his compensation (the “Letter Agreement”). Mr. Keenan will receive an annual salary of $375,000 and will be eligible for a target annual bonus of $450,000 (payable in cash and/or equity). The foregoing description of the Letter Agreement is qualified in its entirety by reference to the copy of the Letter Agreement filed as Exhibit 10.1 hereto.</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Mr. Keenan, age 36, has served as the Company’s Chief Accounting Officer since 2024 and the Company’s principal accounting officer since 2025. Mr. Keenan previously served as the Company’s Director, Global Lead of Accounting Policy and SEC Reporting since 2022. Prior to joining the Company, Mr. Keenan served in key finance and accounting positions at Aflac Global Investments from October 2020 through March 2022. Mr. Keenan is a Certified Public Accountant and holds degrees in Accounting and Finance from Villanova University.</w:t>
      </w:r>
    </w:p>
    <w:p>
      <w:pPr>
        <w:spacing w:after="0" w:line="2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No family relationship exists between Mr. Keenan and any of the Company’s directors, executive officers or persons nominated or chosen to become a director or executive officer. There are no arrangements or understandings between Mr. Keenan and any other person pursuant to which Mr. Keenan was selected as an officer of the Company, nor are there any transactions to which the Company is or was a participant and in which Mr. Keenan had or will have a direct or indirect material interest subject to disclosure under Item 404(a) of Regulation S-K.</w:t>
      </w:r>
    </w:p>
    <w:p>
      <w:pPr>
        <w:spacing w:after="0" w:line="262"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25, 2026, the Company issued a press release announcing the departure of Mr. Harrington and the appointment of Mr. Keenan as Chief Financial Officer. A copy of the press release is attached hereto as Exhibit 99.1.</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Exhibit 99.1 and the information set forth therein shall not be deemed to be filed for purposes of Section 18 of the Securities Exchange Act of 1934, as amended (the “Exchange Act”), or otherwise be subject to the liabilities of that section, nor shall it be deemed to be incorporated by reference in any filing under the Securities Act of 1933, as amended (the “Securities Act”), or the Exchange Act.</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6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7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459"/>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780" w:type="dxa"/>
            <w:vAlign w:val="bottom"/>
          </w:tcPr>
          <w:p>
            <w:pPr>
              <w:spacing w:after="0"/>
              <w:rPr>
                <w:sz w:val="24"/>
                <w:szCs w:val="24"/>
                <w:color w:val="auto"/>
              </w:rPr>
            </w:pPr>
          </w:p>
        </w:tc>
        <w:tc>
          <w:tcPr>
            <w:tcW w:w="2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June 25, 2026.</w:t>
            </w:r>
          </w:p>
        </w:tc>
        <w:tc>
          <w:tcPr>
            <w:tcW w:w="6720" w:type="dxa"/>
            <w:vAlign w:val="bottom"/>
            <w:gridSpan w:val="2"/>
          </w:tcPr>
          <w:p>
            <w:pPr>
              <w:spacing w:after="0"/>
              <w:rPr>
                <w:sz w:val="24"/>
                <w:szCs w:val="24"/>
                <w:color w:val="auto"/>
              </w:rPr>
            </w:pPr>
          </w:p>
        </w:tc>
      </w:tr>
      <w:tr>
        <w:trPr>
          <w:trHeight w:val="34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78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Letter Agreement, dated June 24, 2026.</w:t>
            </w:r>
          </w:p>
        </w:tc>
      </w:tr>
      <w:tr>
        <w:trPr>
          <w:trHeight w:val="20"/>
        </w:trPr>
        <w:tc>
          <w:tcPr>
            <w:tcW w:w="1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385"/>
        </w:trPr>
        <w:tc>
          <w:tcPr>
            <w:tcW w:w="1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9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19"/>
        </w:trPr>
        <w:tc>
          <w:tcPr>
            <w:tcW w:w="11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p>
      <w:pPr>
        <w:ind w:left="20"/>
        <w:spacing w:after="0"/>
        <w:tabs>
          <w:tab w:leader="none" w:pos="3200" w:val="left"/>
        </w:tabs>
        <w:rPr>
          <w:sz w:val="20"/>
          <w:szCs w:val="20"/>
          <w:color w:val="auto"/>
        </w:rPr>
      </w:pPr>
      <w:r>
        <w:rPr>
          <w:rFonts w:ascii="Times New Roman" w:cs="Times New Roman" w:eastAsia="Times New Roman" w:hAnsi="Times New Roman"/>
          <w:sz w:val="18"/>
          <w:szCs w:val="18"/>
          <w:color w:val="auto"/>
        </w:rPr>
        <w:t>Date: June 25, 2026</w:t>
      </w:r>
      <w:r>
        <w:rPr>
          <w:sz w:val="20"/>
          <w:szCs w:val="20"/>
          <w:color w:val="auto"/>
        </w:rPr>
        <w:tab/>
      </w:r>
      <w:r>
        <w:rPr>
          <w:rFonts w:ascii="Times New Roman" w:cs="Times New Roman" w:eastAsia="Times New Roman" w:hAnsi="Times New Roman"/>
          <w:sz w:val="17"/>
          <w:szCs w:val="17"/>
          <w:b w:val="1"/>
          <w:bCs w:val="1"/>
          <w:color w:val="auto"/>
        </w:rPr>
        <w:t>ALTI GLOBAL, INC.</w:t>
      </w:r>
    </w:p>
    <w:p>
      <w:pPr>
        <w:spacing w:after="0" w:line="5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(Registrant)</w:t>
      </w:r>
    </w:p>
    <w:p>
      <w:pPr>
        <w:spacing w:after="0" w:line="38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/s/ Colleen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77470</wp:posOffset>
            </wp:positionV>
            <wp:extent cx="4277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165"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Name: Colleen Graham</w:t>
      </w:r>
    </w:p>
    <w:p>
      <w:pPr>
        <w:spacing w:after="0" w:line="5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Title: Chief Legal, Compliance &amp; Risk Officer</w:t>
      </w:r>
    </w:p>
    <w:p>
      <w:pPr>
        <w:sectPr>
          <w:pgSz w:w="11900" w:h="16838" w:orient="portrait"/>
          <w:cols w:equalWidth="0" w:num="1">
            <w:col w:w="11200"/>
          </w:cols>
          <w:pgMar w:left="320" w:top="1400"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5831840</wp:posOffset>
            </wp:positionH>
            <wp:positionV relativeFrom="page">
              <wp:posOffset>88900</wp:posOffset>
            </wp:positionV>
            <wp:extent cx="1508760" cy="3429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508760" cy="342900"/>
                    </a:xfrm>
                    <a:prstGeom prst="rect">
                      <a:avLst/>
                    </a:prstGeom>
                    <a:noFill/>
                  </pic:spPr>
                </pic:pic>
              </a:graphicData>
            </a:graphic>
          </wp:anchor>
        </w:drawing>
        <w:t>Colin Peters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Patrick Keenan (“Executive”)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Patrick,</w:t>
      </w:r>
    </w:p>
    <w:p>
      <w:pPr>
        <w:spacing w:after="0" w:line="225" w:lineRule="exact"/>
        <w:rPr>
          <w:sz w:val="20"/>
          <w:szCs w:val="20"/>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auto"/>
        </w:rPr>
        <w:t>This letter confirms the compensation and related terms of your employment with the Corporate Division of AlTi Global Inc. through its subsidiary, AlTi Global Holdings, LLC, (the “Company”) in connection with your appointment as a Chief Financial Officer, effective July 3, 2026 (the “Effective Date”).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Base Salary</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Your annual base salary will be $375,000 (“Base Salary”), payable in accordance with the Company’s normal payroll practices and subject to applicable withholding.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Discretionary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shall be eligible to receive a target bonus of $450,000, which may be provided in cash, in equity or in a combination of both under the Company’s annual incentive compensation plan, program and/or arrangements applicable to senior-level executives as established and modified from time to time by the Board of Directors of the Company (the “Board”) or the Human Capital and Compensation Committee of the Board (the “Compensation Committee”). The amount actually earned will be based on achievement of key performance indicators to be developed and agreed by you, the President and the CEO related to the following areas: (i) timely completion of filing and reporting requirements; (ii) achievement of the Company’s budgetary and financial objectives; (iii) delivery of targeted cost-reduction initiatives; (iv) support for and execution of the Company’s strategic plans; and (v) other key operation and financial priorities as determined by the Company’s management team and the Board.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Period</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you or the Company may terminate your employment upon three months’ prior written notice.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If your employment is terminated without Cause, provided you execute and do not revoke a release of claims in a form acceptable by the Company, you will be entitled to the following payments and benefits (“Severance”):</w:t>
      </w:r>
    </w:p>
    <w:p>
      <w:pPr>
        <w:spacing w:after="0" w:line="202" w:lineRule="exact"/>
        <w:rPr>
          <w:sz w:val="20"/>
          <w:szCs w:val="20"/>
          <w:color w:val="auto"/>
        </w:rPr>
      </w:pPr>
    </w:p>
    <w:p>
      <w:pPr>
        <w:ind w:left="480" w:hanging="373"/>
        <w:spacing w:after="0"/>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Base Salary for a period of twelve (12) months following the termination date; and</w:t>
      </w:r>
    </w:p>
    <w:p>
      <w:pPr>
        <w:spacing w:after="0" w:line="387" w:lineRule="exact"/>
        <w:rPr>
          <w:rFonts w:ascii="Times New Roman" w:cs="Times New Roman" w:eastAsia="Times New Roman" w:hAnsi="Times New Roman"/>
          <w:sz w:val="18"/>
          <w:szCs w:val="18"/>
          <w:color w:val="auto"/>
        </w:rPr>
      </w:pPr>
    </w:p>
    <w:p>
      <w:pPr>
        <w:ind w:left="480" w:right="60" w:hanging="373"/>
        <w:spacing w:after="0" w:line="217" w:lineRule="auto"/>
        <w:tabs>
          <w:tab w:leader="none" w:pos="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your timely election to continue your group health plan benefits pursuant to the Consolidated Omnibus Budget Reconciliation Act of 1986 and any applicable state or local equivalents (together, “COBRA”), the Company shall pay the same portion of premiums that it pays for active employees for the same level of group health plan benefits under those Company group health plans that are subject to continuation under COBRA as in effect on the termination date, for the twelve months, unless you commence employment with any person or entity and thereby become eligible for health insurance benefits, in which case the Company’s obligations to pay toward COBRA continuation premiums shall cease. You shall be responsible for paying the remaining portion of the premiums for such coverage as if you remained employed. You shall promptly notify the Company if you accept employment where you are eligible for health insurance benefits during this period.</w:t>
      </w:r>
    </w:p>
    <w:p>
      <w:pPr>
        <w:sectPr>
          <w:pgSz w:w="11900" w:h="16838" w:orient="portrait"/>
          <w:cols w:equalWidth="0" w:num="1">
            <w:col w:w="11240"/>
          </w:cols>
          <w:pgMar w:left="320" w:top="1417" w:right="339" w:bottom="1440" w:gutter="0" w:footer="0" w:header="0"/>
        </w:sectPr>
      </w:pPr>
    </w:p>
    <w:bookmarkStart w:id="5" w:name="page6"/>
    <w:bookmarkEnd w:id="5"/>
    <w:p>
      <w:pPr>
        <w:ind w:firstLine="1"/>
        <w:spacing w:after="0" w:line="257" w:lineRule="auto"/>
        <w:rPr>
          <w:sz w:val="20"/>
          <w:szCs w:val="20"/>
          <w:color w:val="auto"/>
        </w:rPr>
      </w:pPr>
      <w:r>
        <w:rPr>
          <w:rFonts w:ascii="Times New Roman" w:cs="Times New Roman" w:eastAsia="Times New Roman" w:hAnsi="Times New Roman"/>
          <w:sz w:val="18"/>
          <w:szCs w:val="18"/>
          <w:color w:val="auto"/>
        </w:rPr>
        <w:t>For purposes of this offer letter, “Cause” means your (i) willful or deliberate failure to perform your duties required hereunder; (ii) material breach of a term of this letter agreement; (iii) breach of fiduciary duty, dishonesty, willful misconduct or fraud in connection with any aspect of your employment, including in respect of any representations made by you in this letter agreement, (iv) gross negligence in the performance of your duties required hereunder;</w:t>
      </w:r>
    </w:p>
    <w:p>
      <w:pPr>
        <w:spacing w:after="0" w:line="1"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violation of banking or securities industry laws, rules or regulations that constitutes a serious offense or that could or does result in a significant fine;</w:t>
      </w:r>
    </w:p>
    <w:p>
      <w:pPr>
        <w:spacing w:after="0" w:line="9" w:lineRule="exact"/>
        <w:rPr>
          <w:rFonts w:ascii="Times New Roman" w:cs="Times New Roman" w:eastAsia="Times New Roman" w:hAnsi="Times New Roman"/>
          <w:sz w:val="18"/>
          <w:szCs w:val="18"/>
          <w:color w:val="auto"/>
        </w:rPr>
      </w:pPr>
    </w:p>
    <w:p>
      <w:pPr>
        <w:ind w:right="60" w:firstLine="8"/>
        <w:spacing w:after="0" w:line="252" w:lineRule="auto"/>
        <w:tabs>
          <w:tab w:leader="none" w:pos="3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indictment or the substantial equivalent for, conviction of or a plea of guilty or nolo contendere to (A) any felony or (B) a misdemeanor involving moral turpitude; (vii) engaging in willful conduct materially injurious to the business, reputation or goodwill of the Company or any of the Company Entities; or (viii) any material violation of policies, practices or standards of behavior of the Company or any of the Company Entities (including those set forth in any Employee Handbook, Compliance Manual, or Code of Ethics). Notwithstanding the foregoing, in respect of subsections (ii) and (viii), you shall have ten (10) business days following written notice from the Company to cure the circumstances giving rise to Cause, provided that in the good faith judgment of the Company, such circumstances are non-recurring and susceptible to cure.</w:t>
      </w:r>
    </w:p>
    <w:p>
      <w:pPr>
        <w:spacing w:after="0" w:line="19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Please indicate your acceptance of the terms of our offer by signing the document via DocuSign. This letter constitutes the entire agreement between you and the Company regarding the terms of your employment. If you have any questions regarding this offer, please do not hesitate to call Colin Peters at 212.396.5952.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Colin Peters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66" w:lineRule="exact"/>
        <w:rPr>
          <w:sz w:val="20"/>
          <w:szCs w:val="20"/>
          <w:color w:val="auto"/>
        </w:rPr>
      </w:pPr>
    </w:p>
    <w:p>
      <w:pPr>
        <w:ind w:left="20"/>
        <w:spacing w:after="0"/>
        <w:tabs>
          <w:tab w:leader="none" w:pos="2360" w:val="left"/>
          <w:tab w:leader="none" w:pos="668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/s/ Patrick Keenan</w:t>
      </w:r>
      <w:r>
        <w:rPr>
          <w:sz w:val="20"/>
          <w:szCs w:val="20"/>
          <w:color w:val="auto"/>
        </w:rPr>
        <w:tab/>
      </w:r>
      <w:r>
        <w:rPr>
          <w:rFonts w:ascii="Times New Roman" w:cs="Times New Roman" w:eastAsia="Times New Roman" w:hAnsi="Times New Roman"/>
          <w:sz w:val="17"/>
          <w:szCs w:val="17"/>
          <w:color w:val="auto"/>
        </w:rPr>
        <w:t>Date: July 24,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17145</wp:posOffset>
            </wp:positionV>
            <wp:extent cx="59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17145</wp:posOffset>
            </wp:positionV>
            <wp:extent cx="2640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Patrick Keenan</w:t>
      </w:r>
    </w:p>
    <w:p>
      <w:pPr>
        <w:sectPr>
          <w:pgSz w:w="11900" w:h="16838" w:orient="portrait"/>
          <w:cols w:equalWidth="0" w:num="1">
            <w:col w:w="11240"/>
          </w:cols>
          <w:pgMar w:left="320" w:top="1417" w:right="339" w:bottom="1440" w:gutter="0" w:footer="0" w:header="0"/>
        </w:sectPr>
      </w:pPr>
    </w:p>
    <w:bookmarkStart w:id="6" w:name="page7"/>
    <w:bookmarkEnd w:id="6"/>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AlTi Global Announces Chief Financial Officer Succession</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to Support Next Phase of Growth</w:t>
      </w:r>
    </w:p>
    <w:p>
      <w:pPr>
        <w:spacing w:after="0" w:line="200" w:lineRule="exact"/>
        <w:rPr>
          <w:sz w:val="20"/>
          <w:szCs w:val="20"/>
          <w:color w:val="auto"/>
        </w:rPr>
      </w:pPr>
    </w:p>
    <w:p>
      <w:pPr>
        <w:spacing w:after="0" w:line="270" w:lineRule="exact"/>
        <w:rPr>
          <w:sz w:val="20"/>
          <w:szCs w:val="20"/>
          <w:color w:val="auto"/>
        </w:rPr>
      </w:pPr>
    </w:p>
    <w:p>
      <w:pPr>
        <w:spacing w:after="0" w:line="260" w:lineRule="auto"/>
        <w:rPr>
          <w:sz w:val="20"/>
          <w:szCs w:val="20"/>
          <w:color w:val="auto"/>
        </w:rPr>
      </w:pPr>
      <w:r>
        <w:rPr>
          <w:rFonts w:ascii="Arial" w:cs="Arial" w:eastAsia="Arial" w:hAnsi="Arial"/>
          <w:sz w:val="20"/>
          <w:szCs w:val="20"/>
          <w:b w:val="1"/>
          <w:bCs w:val="1"/>
          <w:color w:val="auto"/>
        </w:rPr>
        <w:t xml:space="preserve">NEW YORK, NY, June 25, 2026 </w:t>
      </w:r>
      <w:r>
        <w:rPr>
          <w:rFonts w:ascii="Arial" w:cs="Arial" w:eastAsia="Arial" w:hAnsi="Arial"/>
          <w:sz w:val="20"/>
          <w:szCs w:val="20"/>
          <w:color w:val="auto"/>
        </w:rPr>
        <w:t>– As AlTi Global, Inc. (“AlTi” or the “Company”) (NASDAQ: ALTI) continues to execute its long-term strategy and strengthen its position as a leading global wealth manager, the Company today announced that Patrick Keenan has been appointed Chief Financial Officer from his current role of Deputy Chief Financial Officer, effective July 1, 2026. This is a long-planned internal leadership transition designed to support AlTi’s next phase of growth.</w:t>
      </w:r>
    </w:p>
    <w:p>
      <w:pPr>
        <w:spacing w:after="0" w:line="207"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Patrick Keenan has played an important role in shaping the Company’s financial strategy and operational discipline, and brings deep knowledge of AlTi’s business, clients and long-term ambitions. Having successfully delivered the core priorities of his mandate ahead of schedule, including strengthening the firm’s financial foundation and helping position the business for its next phase of growth, Mike Harrington has decided to retire.</w:t>
      </w:r>
    </w:p>
    <w:p>
      <w:pPr>
        <w:spacing w:after="0" w:line="193" w:lineRule="exact"/>
        <w:rPr>
          <w:sz w:val="20"/>
          <w:szCs w:val="20"/>
          <w:color w:val="auto"/>
        </w:rPr>
      </w:pPr>
    </w:p>
    <w:p>
      <w:pPr>
        <w:ind w:right="280"/>
        <w:spacing w:after="0" w:line="263" w:lineRule="auto"/>
        <w:rPr>
          <w:sz w:val="20"/>
          <w:szCs w:val="20"/>
          <w:color w:val="auto"/>
        </w:rPr>
      </w:pPr>
      <w:r>
        <w:rPr>
          <w:rFonts w:ascii="Arial" w:cs="Arial" w:eastAsia="Arial" w:hAnsi="Arial"/>
          <w:sz w:val="20"/>
          <w:szCs w:val="20"/>
          <w:b w:val="1"/>
          <w:bCs w:val="1"/>
          <w:color w:val="auto"/>
        </w:rPr>
        <w:t xml:space="preserve">Nancy Curtin, CEO of AlTi, said: </w:t>
      </w:r>
      <w:r>
        <w:rPr>
          <w:rFonts w:ascii="Arial" w:cs="Arial" w:eastAsia="Arial" w:hAnsi="Arial"/>
          <w:sz w:val="20"/>
          <w:szCs w:val="20"/>
          <w:color w:val="auto"/>
        </w:rPr>
        <w:t>“Patrick’s appointment reflects both the strength of our internal leadership bench and our</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confidence in AlTi’s future. Patrick brings deep knowledge of our business, a strong strategic and financial perspective, and a clear understanding of how we continue to create long-term value for clients and shareholders.”</w:t>
      </w:r>
    </w:p>
    <w:p>
      <w:pPr>
        <w:spacing w:after="0" w:line="204" w:lineRule="exact"/>
        <w:rPr>
          <w:sz w:val="20"/>
          <w:szCs w:val="20"/>
          <w:color w:val="auto"/>
        </w:rPr>
      </w:pPr>
    </w:p>
    <w:p>
      <w:pPr>
        <w:ind w:right="220"/>
        <w:spacing w:after="0" w:line="262" w:lineRule="auto"/>
        <w:rPr>
          <w:sz w:val="20"/>
          <w:szCs w:val="20"/>
          <w:color w:val="auto"/>
        </w:rPr>
      </w:pPr>
      <w:r>
        <w:rPr>
          <w:rFonts w:ascii="Arial" w:cs="Arial" w:eastAsia="Arial" w:hAnsi="Arial"/>
          <w:sz w:val="20"/>
          <w:szCs w:val="20"/>
          <w:color w:val="auto"/>
        </w:rPr>
        <w:t>“On behalf of the entire Board and leadership team, I would like to thank Mike Harrington for his accomplishments in establishing the strong financial foundation that positions AlTi for its next chapter, and we wish him well in retirement following this successful transition.”</w:t>
      </w:r>
    </w:p>
    <w:p>
      <w:pPr>
        <w:spacing w:after="0" w:line="203" w:lineRule="exact"/>
        <w:rPr>
          <w:sz w:val="20"/>
          <w:szCs w:val="20"/>
          <w:color w:val="auto"/>
        </w:rPr>
      </w:pPr>
    </w:p>
    <w:p>
      <w:pPr>
        <w:ind w:right="340"/>
        <w:spacing w:after="0" w:line="263" w:lineRule="auto"/>
        <w:rPr>
          <w:sz w:val="20"/>
          <w:szCs w:val="20"/>
          <w:color w:val="auto"/>
        </w:rPr>
      </w:pPr>
      <w:r>
        <w:rPr>
          <w:rFonts w:ascii="Arial" w:cs="Arial" w:eastAsia="Arial" w:hAnsi="Arial"/>
          <w:sz w:val="20"/>
          <w:szCs w:val="20"/>
          <w:b w:val="1"/>
          <w:bCs w:val="1"/>
          <w:color w:val="auto"/>
        </w:rPr>
        <w:t xml:space="preserve">Tim Keaney, Chair of the Board of AlTi added, </w:t>
      </w:r>
      <w:r>
        <w:rPr>
          <w:rFonts w:ascii="Arial" w:cs="Arial" w:eastAsia="Arial" w:hAnsi="Arial"/>
          <w:sz w:val="20"/>
          <w:szCs w:val="20"/>
          <w:color w:val="auto"/>
        </w:rPr>
        <w:t>“The Board approached this transition with a focus on continuity, long-term</w:t>
      </w:r>
      <w:r>
        <w:rPr>
          <w:rFonts w:ascii="Arial" w:cs="Arial" w:eastAsia="Arial" w:hAnsi="Arial"/>
          <w:sz w:val="20"/>
          <w:szCs w:val="20"/>
          <w:b w:val="1"/>
          <w:bCs w:val="1"/>
          <w:color w:val="auto"/>
        </w:rPr>
        <w:t xml:space="preserve"> </w:t>
      </w:r>
      <w:r>
        <w:rPr>
          <w:rFonts w:ascii="Arial" w:cs="Arial" w:eastAsia="Arial" w:hAnsi="Arial"/>
          <w:sz w:val="20"/>
          <w:szCs w:val="20"/>
          <w:color w:val="auto"/>
        </w:rPr>
        <w:t>leadership and the needs of the business as AlTi continues to evolve. Patrick emerged as the right leader to help guide the Company through its next phase.”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Patrick will report to President and Chief Operating Officer Kevin Moran.</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Details</w:t>
      </w:r>
    </w:p>
    <w:p>
      <w:pPr>
        <w:spacing w:after="0" w:line="272" w:lineRule="exact"/>
        <w:rPr>
          <w:sz w:val="20"/>
          <w:szCs w:val="20"/>
          <w:color w:val="auto"/>
        </w:rPr>
      </w:pPr>
    </w:p>
    <w:p>
      <w:pPr>
        <w:ind w:right="560"/>
        <w:spacing w:after="0" w:line="286" w:lineRule="auto"/>
        <w:rPr>
          <w:sz w:val="20"/>
          <w:szCs w:val="20"/>
          <w:color w:val="auto"/>
        </w:rPr>
      </w:pPr>
      <w:r>
        <w:rPr>
          <w:rFonts w:ascii="Arial" w:cs="Arial" w:eastAsia="Arial" w:hAnsi="Arial"/>
          <w:sz w:val="20"/>
          <w:szCs w:val="20"/>
          <w:color w:val="auto"/>
        </w:rPr>
        <w:t>Patrick Keenan is a strategic finance leader with expertise spanning financial strategy, capital markets, SEC reporting and operational leadership.</w:t>
      </w:r>
    </w:p>
    <w:p>
      <w:pPr>
        <w:spacing w:after="0" w:line="73" w:lineRule="exact"/>
        <w:rPr>
          <w:sz w:val="20"/>
          <w:szCs w:val="20"/>
          <w:color w:val="auto"/>
        </w:rPr>
      </w:pPr>
    </w:p>
    <w:p>
      <w:pPr>
        <w:ind w:right="180"/>
        <w:spacing w:after="0" w:line="259" w:lineRule="auto"/>
        <w:rPr>
          <w:sz w:val="20"/>
          <w:szCs w:val="20"/>
          <w:color w:val="auto"/>
        </w:rPr>
      </w:pPr>
      <w:r>
        <w:rPr>
          <w:rFonts w:ascii="Arial" w:cs="Arial" w:eastAsia="Arial" w:hAnsi="Arial"/>
          <w:sz w:val="20"/>
          <w:szCs w:val="20"/>
          <w:color w:val="auto"/>
        </w:rPr>
        <w:t>He has played a significant role in shaping strategic initiatives, advising on M&amp;A and financing activity, and strengthening financial and reporting disciplines across complex organizations. He holds deep expertise in U.S. GAAP, SEC reporting and technical accounting, combined with a strong track record of partnering with business leaders to support growth and long-term value creation.</w:t>
      </w:r>
    </w:p>
    <w:p>
      <w:pPr>
        <w:spacing w:after="0" w:line="47" w:lineRule="exact"/>
        <w:rPr>
          <w:sz w:val="20"/>
          <w:szCs w:val="20"/>
          <w:color w:val="auto"/>
        </w:rPr>
      </w:pPr>
    </w:p>
    <w:p>
      <w:pPr>
        <w:ind w:right="260"/>
        <w:spacing w:after="0" w:line="282" w:lineRule="auto"/>
        <w:rPr>
          <w:sz w:val="20"/>
          <w:szCs w:val="20"/>
          <w:color w:val="auto"/>
        </w:rPr>
      </w:pPr>
      <w:r>
        <w:rPr>
          <w:rFonts w:ascii="Arial" w:cs="Arial" w:eastAsia="Arial" w:hAnsi="Arial"/>
          <w:sz w:val="19"/>
          <w:szCs w:val="19"/>
          <w:color w:val="auto"/>
        </w:rPr>
        <w:t>Patrick has held senior strategic finance roles within AlTi for more than four years. Prior to that, he served in a senior finance and accounting leadership position at Aflac Global Investments. Earlier in his career, he held roles at Deloitte and Ernst &amp; Young, where he advised global financial services firms on financial transformation, IPO readiness and complex transactions.</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Patrick is a Certified Public Accountant and holds degrees in Accounting and Finance from Villanova University.</w:t>
      </w:r>
    </w:p>
    <w:p>
      <w:pPr>
        <w:sectPr>
          <w:pgSz w:w="11900" w:h="16838" w:orient="portrait"/>
          <w:cols w:equalWidth="0" w:num="1">
            <w:col w:w="11200"/>
          </w:cols>
          <w:pgMar w:left="320" w:top="1440" w:right="379" w:bottom="1440" w:gutter="0" w:footer="0" w:header="0"/>
        </w:sectPr>
      </w:pPr>
    </w:p>
    <w:bookmarkStart w:id="7" w:name="page8"/>
    <w:bookmarkEnd w:id="7"/>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AlTi Global, Inc.</w:t>
      </w:r>
    </w:p>
    <w:p>
      <w:pPr>
        <w:spacing w:after="0" w:line="218"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AlTi is a global wealth and investment partner to families, foundations and institutions, helping clients activate capital with clarity, bring structure to complexity, and plan with purpose across borders and generations. AlTi combines the breadth of a global firm with the service offering of a family office to deliver solutions designed to meet the full complexity of wealth and capital. We currently manage or advise on approximately $90 billion in combined assets and have an expansive network of approximately 490 professionals globally. For more information, please visit www.alti-global.com.</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Relations:</w:t>
      </w:r>
    </w:p>
    <w:p>
      <w:pPr>
        <w:spacing w:after="0"/>
        <w:rPr>
          <w:sz w:val="20"/>
          <w:szCs w:val="20"/>
          <w:color w:val="auto"/>
        </w:rPr>
      </w:pPr>
      <w:r>
        <w:rPr>
          <w:rFonts w:ascii="Arial" w:cs="Arial" w:eastAsia="Arial" w:hAnsi="Arial"/>
          <w:sz w:val="20"/>
          <w:szCs w:val="20"/>
          <w:color w:val="auto"/>
        </w:rPr>
        <w:t>investor@alti-global.com</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Emily Roy, Prosek Partners</w:t>
      </w:r>
    </w:p>
    <w:p>
      <w:pPr>
        <w:spacing w:after="0"/>
        <w:rPr>
          <w:sz w:val="20"/>
          <w:szCs w:val="20"/>
          <w:color w:val="auto"/>
        </w:rPr>
      </w:pPr>
      <w:r>
        <w:rPr>
          <w:rFonts w:ascii="Arial" w:cs="Arial" w:eastAsia="Arial" w:hAnsi="Arial"/>
          <w:sz w:val="20"/>
          <w:szCs w:val="20"/>
          <w:color w:val="auto"/>
        </w:rPr>
        <w:t>pro-alti@prosek.com</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
    </w:lvl>
  </w:abstractNum>
  <w:abstractNum w:abstractNumId="2">
    <w:nsid w:val="19495CFF"/>
    <w:multiLevelType w:val="hybridMultilevel"/>
    <w:lvl w:ilvl="0">
      <w:lvlJc w:val="left"/>
      <w:lvlText w:val="(%1)"/>
      <w:numFmt w:val="lowerRoman"/>
      <w:start w:val="5"/>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2026-06-25T15:32:06Z</dcterms:created>
  <dcterms:modified xsi:type="dcterms:W3CDTF">2026-06-25T15:32:06Z</dcterms:modified>
</cp:coreProperties>
</file>