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30, 2026</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36195</wp:posOffset>
            </wp:positionV>
            <wp:extent cx="588772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7720" cy="165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93345</wp:posOffset>
            </wp:positionV>
            <wp:extent cx="588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7720" cy="8255"/>
                    </a:xfrm>
                    <a:prstGeom prst="rect">
                      <a:avLst/>
                    </a:prstGeom>
                    <a:noFill/>
                  </pic:spPr>
                </pic:pic>
              </a:graphicData>
            </a:graphic>
          </wp:anchor>
        </w:drawing>
      </w:r>
    </w:p>
    <w:p>
      <w:pPr>
        <w:spacing w:after="0" w:line="28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53340</wp:posOffset>
            </wp:positionV>
            <wp:extent cx="1046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57785</wp:posOffset>
            </wp:positionV>
            <wp:extent cx="1046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4"/>
          <w:szCs w:val="34"/>
          <w:b w:val="1"/>
          <w:bCs w:val="1"/>
          <w:color w:val="auto"/>
        </w:rPr>
        <w:t>ALTI GLOBAL,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54610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94" w:lineRule="exact"/>
        <w:rPr>
          <w:sz w:val="24"/>
          <w:szCs w:val="24"/>
          <w:color w:val="auto"/>
        </w:rPr>
      </w:pPr>
    </w:p>
    <w:tbl>
      <w:tblPr>
        <w:tblLayout w:type="fixed"/>
        <w:tblInd w:w="1200" w:type="dxa"/>
        <w:tblCellMar>
          <w:top w:w="0" w:type="dxa"/>
          <w:left w:w="0" w:type="dxa"/>
          <w:bottom w:w="0" w:type="dxa"/>
          <w:right w:w="0" w:type="dxa"/>
        </w:tblCellMar>
      </w:tblPr>
      <w:tr>
        <w:trPr>
          <w:trHeight w:val="219"/>
        </w:trPr>
        <w:tc>
          <w:tcPr>
            <w:tcW w:w="3580" w:type="dxa"/>
            <w:vAlign w:val="bottom"/>
          </w:tcPr>
          <w:p>
            <w:pPr>
              <w:jc w:val="center"/>
              <w:ind w:right="135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tcPr>
          <w:p>
            <w:pPr>
              <w:jc w:val="center"/>
              <w:ind w:left="1338"/>
              <w:spacing w:after="0"/>
              <w:rPr>
                <w:sz w:val="20"/>
                <w:szCs w:val="20"/>
                <w:color w:val="auto"/>
              </w:rPr>
            </w:pPr>
            <w:r>
              <w:rPr>
                <w:rFonts w:ascii="Times New Roman" w:cs="Times New Roman" w:eastAsia="Times New Roman" w:hAnsi="Times New Roman"/>
                <w:sz w:val="16"/>
                <w:szCs w:val="16"/>
                <w:b w:val="1"/>
                <w:bCs w:val="1"/>
                <w:color w:val="auto"/>
              </w:rPr>
              <w:t>92-1552220</w:t>
            </w:r>
          </w:p>
        </w:tc>
      </w:tr>
      <w:tr>
        <w:trPr>
          <w:trHeight w:val="193"/>
        </w:trPr>
        <w:tc>
          <w:tcPr>
            <w:tcW w:w="3580" w:type="dxa"/>
            <w:vAlign w:val="bottom"/>
          </w:tcPr>
          <w:p>
            <w:pPr>
              <w:jc w:val="center"/>
              <w:ind w:right="1398"/>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060" w:type="dxa"/>
            <w:vAlign w:val="bottom"/>
          </w:tcPr>
          <w:p>
            <w:pPr>
              <w:jc w:val="center"/>
              <w:ind w:left="1278"/>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9"/>
        </w:trPr>
        <w:tc>
          <w:tcPr>
            <w:tcW w:w="3580" w:type="dxa"/>
            <w:vAlign w:val="bottom"/>
          </w:tcPr>
          <w:p>
            <w:pPr>
              <w:jc w:val="center"/>
              <w:ind w:right="1338"/>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60" w:type="dxa"/>
            <w:vAlign w:val="bottom"/>
          </w:tcPr>
          <w:p>
            <w:pPr>
              <w:jc w:val="center"/>
              <w:ind w:left="1338"/>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22 Vanderbilt Avenue, 27th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396-5900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65405</wp:posOffset>
            </wp:positionV>
            <wp:extent cx="1046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Nancy Curtin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 Vanderbilt Avenue, 27th Floor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396-5900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65405</wp:posOffset>
            </wp:positionV>
            <wp:extent cx="1046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Jeffrey Letalien,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Jacqueline Kaufman,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Goodwin Procter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620 Eighth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10018-1405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65405</wp:posOffset>
            </wp:positionV>
            <wp:extent cx="1046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this registration statement becomes effective.</w:t>
      </w:r>
    </w:p>
    <w:p>
      <w:pPr>
        <w:spacing w:after="0" w:line="65" w:lineRule="exact"/>
        <w:rPr>
          <w:sz w:val="24"/>
          <w:szCs w:val="24"/>
          <w:color w:val="auto"/>
        </w:rPr>
      </w:pPr>
    </w:p>
    <w:p>
      <w:pPr>
        <w:ind w:right="340"/>
        <w:spacing w:after="0" w:line="222"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Act of 1933, other than securities offered only in connection with dividend or interest reinvestment plans, check the following box:</w:t>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9"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right="540"/>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right="340"/>
        <w:spacing w:after="0" w:line="22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9"/>
        </w:trPr>
        <w:tc>
          <w:tcPr>
            <w:tcW w:w="2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right="160"/>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 w:lineRule="exact"/>
        <w:rPr>
          <w:sz w:val="24"/>
          <w:szCs w:val="24"/>
          <w:color w:val="auto"/>
        </w:rPr>
      </w:pPr>
    </w:p>
    <w:p>
      <w:pPr>
        <w:ind w:right="260"/>
        <w:spacing w:after="0" w:line="265"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130175</wp:posOffset>
            </wp:positionV>
            <wp:extent cx="5887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77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187325</wp:posOffset>
            </wp:positionV>
            <wp:extent cx="588772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7720" cy="16510"/>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309880</wp:posOffset>
            </wp:positionV>
            <wp:extent cx="667258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280"/>
          </w:cols>
          <w:pgMar w:left="1300" w:top="218" w:right="1319"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5" w:lineRule="exact"/>
        <w:rPr>
          <w:sz w:val="20"/>
          <w:szCs w:val="20"/>
          <w:color w:val="auto"/>
        </w:rPr>
      </w:pPr>
    </w:p>
    <w:p>
      <w:pPr>
        <w:ind w:left="580" w:right="859"/>
        <w:spacing w:after="0" w:line="250"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C0014"/>
        </w:rPr>
        <w:t>SUBJECT TO COMPLETION, DATED June 30, 2026</w:t>
      </w:r>
    </w:p>
    <w:p>
      <w:pPr>
        <w:spacing w:after="0" w:line="3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175260</wp:posOffset>
            </wp:positionV>
            <wp:extent cx="2224405" cy="514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440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3,053,263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180975</wp:posOffset>
            </wp:positionV>
            <wp:extent cx="1046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80" w:right="719"/>
        <w:spacing w:after="0" w:line="257" w:lineRule="auto"/>
        <w:rPr>
          <w:sz w:val="20"/>
          <w:szCs w:val="20"/>
          <w:color w:val="auto"/>
        </w:rPr>
      </w:pPr>
      <w:r>
        <w:rPr>
          <w:rFonts w:ascii="Times New Roman" w:cs="Times New Roman" w:eastAsia="Times New Roman" w:hAnsi="Times New Roman"/>
          <w:sz w:val="17"/>
          <w:szCs w:val="17"/>
          <w:color w:val="auto"/>
        </w:rPr>
        <w:t>This prospectus relates to the resale, from time to time, by the selling securityholders named in this prospectus (the “Selling Securityholders”) or any of their pledgees, donees, assignees and successors-in-interest, or collectively, the permitted transferees, of shares of our Class A common stock. The shares were issued as stock consideration pursuant to that certain share purchase agreement, by and among the Company, Alvarium Wealth Management Non-UK Limited (“AL Wealth Management”), and each of the sellers party thereto, in connection with the Company’s acquisition of all of the issued and outstanding ownership and membership interests of AL Wealth Management that closed on April 6, 2023. This prospectus also covers any additional securities that may become issuable by reason of stock splits, stock dividends or other similar transactions.</w:t>
      </w:r>
    </w:p>
    <w:p>
      <w:pPr>
        <w:spacing w:after="0" w:line="77" w:lineRule="exact"/>
        <w:rPr>
          <w:sz w:val="20"/>
          <w:szCs w:val="20"/>
          <w:color w:val="auto"/>
        </w:rPr>
      </w:pPr>
    </w:p>
    <w:p>
      <w:pPr>
        <w:ind w:left="580" w:right="639"/>
        <w:spacing w:after="0" w:line="264" w:lineRule="auto"/>
        <w:rPr>
          <w:sz w:val="20"/>
          <w:szCs w:val="20"/>
          <w:color w:val="auto"/>
        </w:rPr>
      </w:pPr>
      <w:r>
        <w:rPr>
          <w:rFonts w:ascii="Times New Roman" w:cs="Times New Roman" w:eastAsia="Times New Roman" w:hAnsi="Times New Roman"/>
          <w:sz w:val="17"/>
          <w:szCs w:val="17"/>
          <w:color w:val="auto"/>
        </w:rPr>
        <w:t>We will not receive any proceeds from the sale of shares of Class A common stock by the Selling Securityholders pursuant to this prospectus. However, we will pay the expenses, other than underwriting discounts and commissions and certain expenses incurred by the Selling Securityholders in disposing of the shares of Class A common stock, associated with the sale of the shares of Class A common stock pursuant to this prospectus.</w:t>
      </w:r>
    </w:p>
    <w:p>
      <w:pPr>
        <w:spacing w:after="0" w:line="67" w:lineRule="exact"/>
        <w:rPr>
          <w:sz w:val="20"/>
          <w:szCs w:val="20"/>
          <w:color w:val="auto"/>
        </w:rPr>
      </w:pPr>
    </w:p>
    <w:p>
      <w:pPr>
        <w:ind w:left="580" w:right="719"/>
        <w:spacing w:after="0" w:line="257" w:lineRule="auto"/>
        <w:rPr>
          <w:sz w:val="20"/>
          <w:szCs w:val="20"/>
          <w:color w:val="auto"/>
        </w:rPr>
      </w:pPr>
      <w:r>
        <w:rPr>
          <w:rFonts w:ascii="Times New Roman" w:cs="Times New Roman" w:eastAsia="Times New Roman" w:hAnsi="Times New Roman"/>
          <w:sz w:val="17"/>
          <w:szCs w:val="17"/>
          <w:color w:val="auto"/>
        </w:rPr>
        <w:t>We are registering the resale of the shares of Class A common stock to satisfy certain registration rights we have granted. Our registration of the shares of Class A common stock covered by this prospectus does not mean that the Selling Securityholders will offer or sell any of the shares of Class A common stock. The Selling Securityholders and any of their permitted transferees may offer and sell the shares of Class A common stock covered by this prospectus in a number of different ways and at varying prices. Additional information on the Selling Securityholders, and the times and manner in which they may offer and sell the shares of Class A common stock under this prospectus, is provided under “</w:t>
      </w:r>
      <w:r>
        <w:rPr>
          <w:rFonts w:ascii="Times New Roman" w:cs="Times New Roman" w:eastAsia="Times New Roman" w:hAnsi="Times New Roman"/>
          <w:sz w:val="17"/>
          <w:szCs w:val="17"/>
          <w:i w:val="1"/>
          <w:iCs w:val="1"/>
          <w:color w:val="auto"/>
        </w:rPr>
        <w:t>Selling Securityholders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in this prospectus.</w:t>
      </w:r>
    </w:p>
    <w:p>
      <w:pPr>
        <w:spacing w:after="0" w:line="77" w:lineRule="exact"/>
        <w:rPr>
          <w:sz w:val="20"/>
          <w:szCs w:val="20"/>
          <w:color w:val="auto"/>
        </w:rPr>
      </w:pPr>
    </w:p>
    <w:p>
      <w:pPr>
        <w:ind w:left="580" w:right="679"/>
        <w:spacing w:after="0" w:line="286" w:lineRule="auto"/>
        <w:rPr>
          <w:sz w:val="20"/>
          <w:szCs w:val="20"/>
          <w:color w:val="auto"/>
        </w:rPr>
      </w:pPr>
      <w:r>
        <w:rPr>
          <w:rFonts w:ascii="Times New Roman" w:cs="Times New Roman" w:eastAsia="Times New Roman" w:hAnsi="Times New Roman"/>
          <w:sz w:val="17"/>
          <w:szCs w:val="17"/>
          <w:color w:val="auto"/>
        </w:rPr>
        <w:t>You should read this prospectus and any prospectus supplement or amendment carefully before you invest in our securities.</w:t>
      </w:r>
    </w:p>
    <w:p>
      <w:pPr>
        <w:spacing w:after="0" w:line="49" w:lineRule="exact"/>
        <w:rPr>
          <w:sz w:val="20"/>
          <w:szCs w:val="20"/>
          <w:color w:val="auto"/>
        </w:rPr>
      </w:pPr>
    </w:p>
    <w:p>
      <w:pPr>
        <w:ind w:left="580" w:right="659"/>
        <w:spacing w:after="0" w:line="286" w:lineRule="auto"/>
        <w:rPr>
          <w:sz w:val="20"/>
          <w:szCs w:val="20"/>
          <w:color w:val="auto"/>
        </w:rPr>
      </w:pPr>
      <w:r>
        <w:rPr>
          <w:rFonts w:ascii="Times New Roman" w:cs="Times New Roman" w:eastAsia="Times New Roman" w:hAnsi="Times New Roman"/>
          <w:sz w:val="17"/>
          <w:szCs w:val="17"/>
          <w:color w:val="auto"/>
        </w:rPr>
        <w:t>Our Class A common stock is listed on The Nasdaq Capital Market under the symbol “ALTI”. On June 29, 2026, the last reported sale price of our Class A common stock on The Nasdaq Capital Market was $3.61 per share.</w:t>
      </w:r>
    </w:p>
    <w:p>
      <w:pPr>
        <w:spacing w:after="0" w:line="49" w:lineRule="exact"/>
        <w:rPr>
          <w:sz w:val="20"/>
          <w:szCs w:val="20"/>
          <w:color w:val="auto"/>
        </w:rPr>
      </w:pPr>
    </w:p>
    <w:p>
      <w:pPr>
        <w:ind w:left="580" w:right="699"/>
        <w:spacing w:after="0" w:line="269" w:lineRule="auto"/>
        <w:rPr>
          <w:sz w:val="20"/>
          <w:szCs w:val="20"/>
          <w:color w:val="auto"/>
        </w:rPr>
      </w:pPr>
      <w:r>
        <w:rPr>
          <w:rFonts w:ascii="Times New Roman" w:cs="Times New Roman" w:eastAsia="Times New Roman" w:hAnsi="Times New Roman"/>
          <w:sz w:val="17"/>
          <w:szCs w:val="17"/>
          <w:color w:val="auto"/>
        </w:rPr>
        <w:t>We are an “emerging growth company,” as that term is defined under the federal securities laws and, as such, are subject to certain reduced public company reporting requirements. See “</w:t>
      </w:r>
      <w:r>
        <w:rPr>
          <w:rFonts w:ascii="Times New Roman" w:cs="Times New Roman" w:eastAsia="Times New Roman" w:hAnsi="Times New Roman"/>
          <w:sz w:val="17"/>
          <w:szCs w:val="17"/>
          <w:i w:val="1"/>
          <w:iCs w:val="1"/>
          <w:color w:val="auto"/>
        </w:rPr>
        <w:t>Implications of Being an Emerging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Growth Company and Smaller Reporting Company</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580" w:right="639"/>
        <w:spacing w:after="0" w:line="26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you invest in our securities, you should carefully read the section entitled “</w:t>
      </w:r>
      <w:r>
        <w:rPr>
          <w:rFonts w:ascii="Times New Roman" w:cs="Times New Roman" w:eastAsia="Times New Roman" w:hAnsi="Times New Roman"/>
          <w:sz w:val="17"/>
          <w:szCs w:val="17"/>
          <w:b w:val="1"/>
          <w:bCs w:val="1"/>
          <w:i w:val="1"/>
          <w:iCs w:val="1"/>
          <w:u w:val="single" w:color="auto"/>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6</w:t>
      </w:r>
      <w:r>
        <w:rPr>
          <w:rFonts w:ascii="Times New Roman" w:cs="Times New Roman" w:eastAsia="Times New Roman" w:hAnsi="Times New Roman"/>
          <w:sz w:val="17"/>
          <w:szCs w:val="17"/>
          <w:b w:val="1"/>
          <w:bCs w:val="1"/>
          <w:color w:val="auto"/>
        </w:rPr>
        <w:t xml:space="preserve"> of this prospectus, and other risk factors contained in any applicable prospectus supplement and in the documents incorporated by reference herein and therein.</w:t>
      </w:r>
    </w:p>
    <w:p>
      <w:pPr>
        <w:spacing w:after="0" w:line="64" w:lineRule="exact"/>
        <w:rPr>
          <w:sz w:val="20"/>
          <w:szCs w:val="20"/>
          <w:color w:val="auto"/>
        </w:rPr>
      </w:pPr>
    </w:p>
    <w:p>
      <w:pPr>
        <w:ind w:left="580" w:right="899"/>
        <w:spacing w:after="0" w:line="272"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171450</wp:posOffset>
            </wp:positionV>
            <wp:extent cx="1046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133985</wp:posOffset>
            </wp:positionV>
            <wp:extent cx="667258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type w:val="continuous"/>
        </w:sectPr>
      </w:pPr>
    </w:p>
    <w:bookmarkStart w:id="2" w:name="page3"/>
    <w:bookmarkEnd w:id="2"/>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20" w:type="dxa"/>
            <w:vAlign w:val="bottom"/>
            <w:gridSpan w:val="7"/>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EE"/>
                <w:w w:val="99"/>
              </w:rPr>
              <w:t>ABOUT THIS PROSPECTUS</w:t>
            </w:r>
          </w:p>
        </w:tc>
        <w:tc>
          <w:tcPr>
            <w:tcW w:w="5300" w:type="dxa"/>
            <w:vAlign w:val="bottom"/>
            <w:gridSpan w:val="6"/>
            <w:shd w:val="clear" w:color="auto" w:fill="CCEEFF"/>
          </w:tcPr>
          <w:p>
            <w:pPr>
              <w:spacing w:after="0"/>
              <w:rPr>
                <w:sz w:val="16"/>
                <w:szCs w:val="16"/>
                <w:color w:val="auto"/>
              </w:rPr>
            </w:pPr>
          </w:p>
        </w:tc>
        <w:tc>
          <w:tcPr>
            <w:tcW w:w="540" w:type="dxa"/>
            <w:vAlign w:val="bottom"/>
            <w:gridSpan w:val="4"/>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0000EE"/>
              </w:rPr>
              <w:t>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THE COMPANY</w:t>
            </w: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EE"/>
              </w:rPr>
              <w:t>THE OFFERING</w:t>
            </w: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11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7"/>
              </w:rPr>
              <w:t>RISK FACTORS</w:t>
            </w:r>
          </w:p>
        </w:tc>
        <w:tc>
          <w:tcPr>
            <w:tcW w:w="6240" w:type="dxa"/>
            <w:vAlign w:val="bottom"/>
            <w:gridSpan w:val="11"/>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EE"/>
              </w:rPr>
              <w:t>USE OF PROCEEDS</w:t>
            </w: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38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9"/>
              </w:rPr>
              <w:t>SELLING SECURITYHOLDERS</w:t>
            </w:r>
          </w:p>
        </w:tc>
        <w:tc>
          <w:tcPr>
            <w:tcW w:w="5040" w:type="dxa"/>
            <w:vAlign w:val="bottom"/>
            <w:gridSpan w:val="5"/>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38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EE"/>
              </w:rPr>
              <w:t>PLAN OF DISTRIBUTION</w:t>
            </w:r>
          </w:p>
        </w:tc>
        <w:tc>
          <w:tcPr>
            <w:tcW w:w="5040" w:type="dxa"/>
            <w:vAlign w:val="bottom"/>
            <w:gridSpan w:val="5"/>
          </w:tcPr>
          <w:p>
            <w:pPr>
              <w:spacing w:after="0"/>
              <w:rPr>
                <w:sz w:val="15"/>
                <w:szCs w:val="15"/>
                <w:color w:val="auto"/>
              </w:rPr>
            </w:pP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13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2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LEGAL MATTERS</w:t>
            </w:r>
          </w:p>
        </w:tc>
        <w:tc>
          <w:tcPr>
            <w:tcW w:w="4700" w:type="dxa"/>
            <w:vAlign w:val="bottom"/>
            <w:gridSpan w:val="4"/>
          </w:tcPr>
          <w:p>
            <w:pPr>
              <w:spacing w:after="0"/>
              <w:rPr>
                <w:sz w:val="15"/>
                <w:szCs w:val="15"/>
                <w:color w:val="auto"/>
              </w:rPr>
            </w:pP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4"/>
              </w:rPr>
              <w:t>EXPERTS</w:t>
            </w:r>
          </w:p>
        </w:tc>
        <w:tc>
          <w:tcPr>
            <w:tcW w:w="6700" w:type="dxa"/>
            <w:vAlign w:val="bottom"/>
            <w:gridSpan w:val="12"/>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14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5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7"/>
                <w:szCs w:val="17"/>
                <w:color w:val="0000EE"/>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420" w:type="dxa"/>
            <w:vAlign w:val="bottom"/>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540" w:type="dxa"/>
            <w:vAlign w:val="bottom"/>
            <w:gridSpan w:val="4"/>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rPr>
              <w:t>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9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3" w:name="page4"/>
    <w:bookmarkEnd w:id="3"/>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8" w:lineRule="exact"/>
        <w:rPr>
          <w:sz w:val="20"/>
          <w:szCs w:val="20"/>
          <w:color w:val="auto"/>
        </w:rPr>
      </w:pPr>
    </w:p>
    <w:p>
      <w:pPr>
        <w:ind w:left="480" w:right="559"/>
        <w:spacing w:after="0" w:line="258"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 using a “shelf” registration process. Under this shelf registration process, the Selling Securityholders and their permitted transferees may, from time to time, offer and sell the shares of Class A common stock described in this prospectus in one or more offerings through any means described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More specific terms of any shares of Class A common stock that the Selling Securityholders and their permitted transferees offer and sell may be provided in a prospectus supplement that describes, among other things, the specific amounts and prices of the Class A common stock being offered and the terms of the offering.</w:t>
      </w:r>
    </w:p>
    <w:p>
      <w:pPr>
        <w:spacing w:after="0" w:line="74" w:lineRule="exact"/>
        <w:rPr>
          <w:sz w:val="20"/>
          <w:szCs w:val="20"/>
          <w:color w:val="auto"/>
        </w:rPr>
      </w:pPr>
    </w:p>
    <w:p>
      <w:pPr>
        <w:ind w:left="480" w:right="639"/>
        <w:spacing w:after="0" w:line="261" w:lineRule="auto"/>
        <w:rPr>
          <w:sz w:val="20"/>
          <w:szCs w:val="20"/>
          <w:color w:val="auto"/>
        </w:rPr>
      </w:pPr>
      <w:r>
        <w:rPr>
          <w:rFonts w:ascii="Times New Roman" w:cs="Times New Roman" w:eastAsia="Times New Roman" w:hAnsi="Times New Roman"/>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70" w:lineRule="exact"/>
        <w:rPr>
          <w:sz w:val="20"/>
          <w:szCs w:val="20"/>
          <w:color w:val="auto"/>
        </w:rPr>
      </w:pPr>
    </w:p>
    <w:p>
      <w:pPr>
        <w:ind w:left="480" w:right="519"/>
        <w:spacing w:after="0" w:line="256"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and any applicable prospectus supplement. Neither we nor the Selling Securityholders have authorized anyone to provide you with different or additional information.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w:t>
      </w:r>
    </w:p>
    <w:p>
      <w:pPr>
        <w:spacing w:after="0" w:line="78" w:lineRule="exact"/>
        <w:rPr>
          <w:sz w:val="20"/>
          <w:szCs w:val="20"/>
          <w:color w:val="auto"/>
        </w:rPr>
      </w:pPr>
    </w:p>
    <w:p>
      <w:pPr>
        <w:ind w:left="480" w:right="599"/>
        <w:spacing w:after="0" w:line="261" w:lineRule="auto"/>
        <w:rPr>
          <w:sz w:val="20"/>
          <w:szCs w:val="20"/>
          <w:color w:val="auto"/>
        </w:rPr>
      </w:pPr>
      <w:r>
        <w:rPr>
          <w:rFonts w:ascii="Times New Roman" w:cs="Times New Roman" w:eastAsia="Times New Roman" w:hAnsi="Times New Roman"/>
          <w:sz w:val="17"/>
          <w:szCs w:val="17"/>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70" w:lineRule="exact"/>
        <w:rPr>
          <w:sz w:val="20"/>
          <w:szCs w:val="20"/>
          <w:color w:val="auto"/>
        </w:rPr>
      </w:pPr>
    </w:p>
    <w:p>
      <w:pPr>
        <w:ind w:left="480" w:right="499"/>
        <w:spacing w:after="0" w:line="259"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More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ind w:left="480" w:right="499"/>
        <w:spacing w:after="0" w:line="259" w:lineRule="auto"/>
        <w:rPr>
          <w:sz w:val="20"/>
          <w:szCs w:val="20"/>
          <w:color w:val="auto"/>
        </w:rPr>
      </w:pPr>
      <w:r>
        <w:rPr>
          <w:rFonts w:ascii="Times New Roman" w:cs="Times New Roman" w:eastAsia="Times New Roman" w:hAnsi="Times New Roman"/>
          <w:sz w:val="17"/>
          <w:szCs w:val="17"/>
          <w:color w:val="auto"/>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73" w:lineRule="exact"/>
        <w:rPr>
          <w:sz w:val="20"/>
          <w:szCs w:val="20"/>
          <w:color w:val="auto"/>
        </w:rPr>
      </w:pPr>
    </w:p>
    <w:p>
      <w:pPr>
        <w:ind w:left="480" w:right="759"/>
        <w:spacing w:after="0" w:line="286" w:lineRule="auto"/>
        <w:rPr>
          <w:sz w:val="20"/>
          <w:szCs w:val="20"/>
          <w:color w:val="auto"/>
        </w:rPr>
      </w:pPr>
      <w:r>
        <w:rPr>
          <w:rFonts w:ascii="Times New Roman" w:cs="Times New Roman" w:eastAsia="Times New Roman" w:hAnsi="Times New Roman"/>
          <w:sz w:val="17"/>
          <w:szCs w:val="17"/>
          <w:color w:val="auto"/>
        </w:rPr>
        <w:t>As used in this prospectus, unless the context otherwise requires, references in this prospectus to the “Company,” “AlTi,” “we,” “us” and “our” and any related terms refer to AlTi Global, Inc. and its consolidated subsidiaries.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4" w:name="page5"/>
    <w:bookmarkEnd w:id="4"/>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ind w:left="480" w:right="559"/>
        <w:spacing w:after="0" w:line="256" w:lineRule="auto"/>
        <w:rPr>
          <w:sz w:val="20"/>
          <w:szCs w:val="20"/>
          <w:color w:val="auto"/>
        </w:rPr>
      </w:pPr>
      <w:r>
        <w:rPr>
          <w:rFonts w:ascii="Times New Roman" w:cs="Times New Roman" w:eastAsia="Times New Roman" w:hAnsi="Times New Roman"/>
          <w:sz w:val="17"/>
          <w:szCs w:val="17"/>
          <w:color w:val="auto"/>
        </w:rPr>
        <w:t>Certain statements in this prospectus, including the documents incorporated by reference in this prospectus, may constitute “forward-looking statements” for purposes of the federal securities laws,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prospectus are forward-looking statements.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73" w:lineRule="exact"/>
        <w:rPr>
          <w:sz w:val="20"/>
          <w:szCs w:val="20"/>
          <w:color w:val="auto"/>
        </w:rPr>
      </w:pPr>
    </w:p>
    <w:p>
      <w:pPr>
        <w:ind w:left="480" w:right="559"/>
        <w:spacing w:after="0" w:line="259"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 and its management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73" w:lineRule="exact"/>
        <w:rPr>
          <w:sz w:val="20"/>
          <w:szCs w:val="20"/>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projected financial information, growth rate, and market opportunity;</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and manage growth profitably;</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financings and consummate investments in the future, if and when needed;</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adapting to changes in, our officers, key employees, or directors;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our senior management and other highly qualified personnel;</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113" w:lineRule="exact"/>
        <w:rPr>
          <w:rFonts w:ascii="Times New Roman" w:cs="Times New Roman" w:eastAsia="Times New Roman" w:hAnsi="Times New Roman"/>
          <w:sz w:val="17"/>
          <w:szCs w:val="17"/>
          <w:color w:val="auto"/>
        </w:rPr>
      </w:pPr>
    </w:p>
    <w:p>
      <w:pPr>
        <w:ind w:left="1160" w:right="71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over which we anticipate our existing cash and cash equivalents will be sufficient to fund our operating expenses and capital expenditure requirements;</w:t>
      </w:r>
    </w:p>
    <w:p>
      <w:pPr>
        <w:spacing w:after="0" w:line="49" w:lineRule="exact"/>
        <w:rPr>
          <w:rFonts w:ascii="Times New Roman" w:cs="Times New Roman" w:eastAsia="Times New Roman" w:hAnsi="Times New Roman"/>
          <w:sz w:val="17"/>
          <w:szCs w:val="17"/>
          <w:color w:val="auto"/>
        </w:rPr>
      </w:pPr>
    </w:p>
    <w:p>
      <w:pPr>
        <w:ind w:left="1160" w:right="65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protect against security breaches, ransomware attacks, and other disruptions to our information technology structure;</w:t>
      </w:r>
    </w:p>
    <w:p>
      <w:pPr>
        <w:spacing w:after="0" w:line="49" w:lineRule="exact"/>
        <w:rPr>
          <w:rFonts w:ascii="Times New Roman" w:cs="Times New Roman" w:eastAsia="Times New Roman" w:hAnsi="Times New Roman"/>
          <w:sz w:val="17"/>
          <w:szCs w:val="17"/>
          <w:color w:val="auto"/>
        </w:rPr>
      </w:pPr>
    </w:p>
    <w:p>
      <w:pPr>
        <w:ind w:left="1160" w:right="63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increased scrutiny from our clients with respect to the societal and environmental impact of investments we make;</w:t>
      </w:r>
    </w:p>
    <w:p>
      <w:pPr>
        <w:spacing w:after="0" w:line="49" w:lineRule="exact"/>
        <w:rPr>
          <w:rFonts w:ascii="Times New Roman" w:cs="Times New Roman" w:eastAsia="Times New Roman" w:hAnsi="Times New Roman"/>
          <w:sz w:val="17"/>
          <w:szCs w:val="17"/>
          <w:color w:val="auto"/>
        </w:rPr>
      </w:pPr>
    </w:p>
    <w:p>
      <w:pPr>
        <w:jc w:val="both"/>
        <w:ind w:left="1160" w:right="91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international trade law or policy, including tariffs and restrictions on foreign investment in the United States or U.S.-based businesses and financial institutions in other countries;</w:t>
      </w:r>
    </w:p>
    <w:p>
      <w:pPr>
        <w:spacing w:after="0" w:line="49" w:lineRule="exact"/>
        <w:rPr>
          <w:rFonts w:ascii="Times New Roman" w:cs="Times New Roman" w:eastAsia="Times New Roman" w:hAnsi="Times New Roman"/>
          <w:sz w:val="17"/>
          <w:szCs w:val="17"/>
          <w:color w:val="auto"/>
        </w:rPr>
      </w:pPr>
    </w:p>
    <w:p>
      <w:pPr>
        <w:ind w:left="1160" w:right="89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other applicable laws and regulations, whether in the United States, United Kingdom or other foreign countries, and any anticipated or actual changes thereof, on us;</w:t>
      </w:r>
    </w:p>
    <w:p>
      <w:pPr>
        <w:spacing w:after="0" w:line="49"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compete against other companies;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113" w:lineRule="exact"/>
        <w:rPr>
          <w:rFonts w:ascii="Times New Roman" w:cs="Times New Roman" w:eastAsia="Times New Roman" w:hAnsi="Times New Roman"/>
          <w:sz w:val="17"/>
          <w:szCs w:val="17"/>
          <w:color w:val="auto"/>
        </w:rPr>
      </w:pPr>
    </w:p>
    <w:p>
      <w:pPr>
        <w:ind w:left="1160" w:right="519" w:hanging="330"/>
        <w:spacing w:after="0" w:line="269"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changes or volatility, inflation, as well as the effect of economic downturns and political and market conditions beyond our control, including a reduction in consumer discretionary spending that could adversely affect our business, financial condition, results of operations and prospects;</w:t>
      </w:r>
    </w:p>
    <w:p>
      <w:pPr>
        <w:spacing w:after="0" w:line="63" w:lineRule="exact"/>
        <w:rPr>
          <w:rFonts w:ascii="Times New Roman" w:cs="Times New Roman" w:eastAsia="Times New Roman" w:hAnsi="Times New Roman"/>
          <w:sz w:val="17"/>
          <w:szCs w:val="17"/>
          <w:color w:val="auto"/>
        </w:rPr>
      </w:pPr>
    </w:p>
    <w:p>
      <w:pPr>
        <w:ind w:left="1160" w:right="859" w:hanging="330"/>
        <w:spacing w:after="0" w:line="286"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dependence on leverage by certain funds, underlying investment funds and portfolio companies and related volatility;</w:t>
      </w:r>
    </w:p>
    <w:p>
      <w:pPr>
        <w:spacing w:after="0" w:line="49"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defaults by third-party investors;</w:t>
      </w:r>
    </w:p>
    <w:p>
      <w:pPr>
        <w:spacing w:after="0" w:line="113" w:lineRule="exact"/>
        <w:rPr>
          <w:rFonts w:ascii="Times New Roman" w:cs="Times New Roman" w:eastAsia="Times New Roman" w:hAnsi="Times New Roman"/>
          <w:sz w:val="17"/>
          <w:szCs w:val="17"/>
          <w:color w:val="auto"/>
        </w:rPr>
      </w:pPr>
    </w:p>
    <w:p>
      <w:pPr>
        <w:ind w:left="1160" w:right="659" w:hanging="330"/>
        <w:spacing w:after="0" w:line="269"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any failure to comply with investment guidelines of our clients, failure or circumvention of our controls and procedures, or any insufficiencies in the due diligence process that we undertake in connection with investments;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5" w:name="page6"/>
    <w:bookmarkEnd w:id="5"/>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160" w:hanging="330"/>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termination or non-renewal of our investment advisory contracts;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future pandemics on the foregoing; and</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detailed under the section entitled “Risk Factors.”</w:t>
      </w:r>
    </w:p>
    <w:p>
      <w:pPr>
        <w:spacing w:after="0" w:line="114" w:lineRule="exact"/>
        <w:rPr>
          <w:sz w:val="20"/>
          <w:szCs w:val="20"/>
          <w:color w:val="auto"/>
        </w:rPr>
      </w:pPr>
    </w:p>
    <w:p>
      <w:pPr>
        <w:ind w:left="480" w:right="499"/>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or incorporated by reference in this prospectus are based on current expectations and beliefs of the Company and its management concerning future developments and their potential effects on us, and are inherently subject to uncertainties and changes in circumstances.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our most recent Annual Report on Form 10-K and our most recent Quarterly Report on Form 10-Q, as well as any subsequent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global economic and political developments and public health events, and there may be additional risks that we consider immaterial or which are unknown. It is not possible to predict or identify all such risks. The forward-looking statements in this prospectus speak only as of the date of such statement. We do not undertake any obligation to update or revise any forward-looking statements, whether as a result of new information, future events or otherwise, except as may be required under applicable securities 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6" w:name="page7"/>
    <w:bookmarkEnd w:id="6"/>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left="480" w:right="919"/>
        <w:spacing w:after="0" w:line="263" w:lineRule="auto"/>
        <w:rPr>
          <w:sz w:val="20"/>
          <w:szCs w:val="20"/>
          <w:color w:val="auto"/>
        </w:rPr>
      </w:pPr>
      <w:r>
        <w:rPr>
          <w:rFonts w:ascii="Times New Roman" w:cs="Times New Roman" w:eastAsia="Times New Roman" w:hAnsi="Times New Roman"/>
          <w:sz w:val="17"/>
          <w:szCs w:val="17"/>
          <w:color w:val="auto"/>
        </w:rPr>
        <w:t>AlTi is a global wealth and investment partner to families, foundations and institutions, helping clients activate capital with clarity, bring structure to complexity, and plan with purpose across borders and generations.</w:t>
      </w:r>
    </w:p>
    <w:p>
      <w:pPr>
        <w:spacing w:after="0" w:line="1" w:lineRule="exact"/>
        <w:rPr>
          <w:sz w:val="20"/>
          <w:szCs w:val="20"/>
          <w:color w:val="auto"/>
        </w:rPr>
      </w:pPr>
    </w:p>
    <w:p>
      <w:pPr>
        <w:ind w:left="480" w:right="539"/>
        <w:spacing w:after="0" w:line="254" w:lineRule="auto"/>
        <w:rPr>
          <w:sz w:val="20"/>
          <w:szCs w:val="20"/>
          <w:color w:val="auto"/>
        </w:rPr>
      </w:pPr>
      <w:r>
        <w:rPr>
          <w:rFonts w:ascii="Times New Roman" w:cs="Times New Roman" w:eastAsia="Times New Roman" w:hAnsi="Times New Roman"/>
          <w:sz w:val="17"/>
          <w:szCs w:val="17"/>
          <w:color w:val="auto"/>
        </w:rPr>
        <w:t>AlTi combines the breadth of a global firm with the service offering of a family office to deliver solutions designed to meet the full complexity of wealth and capital. We manage or advise approximately $93.1 billion in combined assets as of December 31, 2025. We have approximately 490 professionals operating in 19 cities in 9 countries across three continents as of December 31,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w:t>
      </w:r>
    </w:p>
    <w:p>
      <w:pPr>
        <w:spacing w:after="0" w:line="78" w:lineRule="exact"/>
        <w:rPr>
          <w:sz w:val="20"/>
          <w:szCs w:val="20"/>
          <w:color w:val="auto"/>
        </w:rPr>
      </w:pPr>
    </w:p>
    <w:p>
      <w:pPr>
        <w:ind w:left="480" w:right="639"/>
        <w:spacing w:after="0" w:line="286" w:lineRule="auto"/>
        <w:rPr>
          <w:sz w:val="20"/>
          <w:szCs w:val="20"/>
          <w:color w:val="auto"/>
        </w:rPr>
      </w:pPr>
      <w:r>
        <w:rPr>
          <w:rFonts w:ascii="Times New Roman" w:cs="Times New Roman" w:eastAsia="Times New Roman" w:hAnsi="Times New Roman"/>
          <w:sz w:val="17"/>
          <w:szCs w:val="17"/>
          <w:color w:val="auto"/>
        </w:rPr>
        <w:t>Separately, we have one internally managed fund and stakes in three Externally-Managed Funds in our alternatives platform, with a largely institutional client base.</w:t>
      </w:r>
    </w:p>
    <w:p>
      <w:pPr>
        <w:spacing w:after="0" w:line="49" w:lineRule="exact"/>
        <w:rPr>
          <w:sz w:val="20"/>
          <w:szCs w:val="20"/>
          <w:color w:val="auto"/>
        </w:rPr>
      </w:pPr>
    </w:p>
    <w:p>
      <w:pPr>
        <w:ind w:left="480" w:right="519"/>
        <w:spacing w:after="0" w:line="256" w:lineRule="auto"/>
        <w:rPr>
          <w:sz w:val="20"/>
          <w:szCs w:val="20"/>
          <w:color w:val="auto"/>
        </w:rPr>
      </w:pPr>
      <w:r>
        <w:rPr>
          <w:rFonts w:ascii="Times New Roman" w:cs="Times New Roman" w:eastAsia="Times New Roman" w:hAnsi="Times New Roman"/>
          <w:sz w:val="17"/>
          <w:szCs w:val="17"/>
          <w:color w:val="auto"/>
        </w:rPr>
        <w:t>Our business is currently organized into one operating segment. Prior to the third quarter ended September 30, 2025, the Company was organized into two operating segments: Wealth &amp; Capital Solutions and International Real Estate. The Company previously conducted a strategic review of the International Real Estate Businesses (as defined below) and, based on the conclusion that they were not a core part of its long-term strategy, re-organized its reportable segments in the third quarter of 2024. That change resulted in two reportable segments: Wealth &amp; Capital Solutions and International Real Estate, and prior period data was recast for comparative purposes. On July 11, 2025, the Board approved a plan to appoint administrators over the real estate co-investment business (“Real Estate Co-Investment”) and the real estate fund management businesses (“Real Estate Fund Management”) (together, the “International Real Estate Businesses”). See Note 3 (Discontinued Operations) to our consolidated financial statements included in our Annual Report on Form 10-K for the year ended December 31, 2025 for further information. As such, during the third quarter ended September 30, 2025, the Company disposed of its International Real Estate segment, and is now organized as one reportable segment as of September 30, 2025.</w:t>
      </w:r>
    </w:p>
    <w:p>
      <w:pPr>
        <w:spacing w:after="0" w:line="73" w:lineRule="exact"/>
        <w:rPr>
          <w:sz w:val="20"/>
          <w:szCs w:val="20"/>
          <w:color w:val="auto"/>
        </w:rPr>
      </w:pPr>
    </w:p>
    <w:p>
      <w:pPr>
        <w:ind w:left="480" w:right="539"/>
        <w:spacing w:after="0" w:line="257" w:lineRule="auto"/>
        <w:rPr>
          <w:sz w:val="20"/>
          <w:szCs w:val="20"/>
          <w:color w:val="auto"/>
        </w:rPr>
      </w:pPr>
      <w:r>
        <w:rPr>
          <w:rFonts w:ascii="Times New Roman" w:cs="Times New Roman" w:eastAsia="Times New Roman" w:hAnsi="Times New Roman"/>
          <w:sz w:val="17"/>
          <w:szCs w:val="17"/>
          <w:color w:val="auto"/>
        </w:rPr>
        <w:t>Results generated by our operating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operating segment. Management fees are generally calculated based on a percentage of the value of billable AUM or AUA (as applicable), while incentive fees are driven by the underlying performance of managed portfolios. As of December 31, 2025, the Company had $93.1 billion in AUA.</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118" w:lineRule="exact"/>
        <w:rPr>
          <w:sz w:val="20"/>
          <w:szCs w:val="20"/>
          <w:color w:val="auto"/>
        </w:rPr>
      </w:pPr>
    </w:p>
    <w:p>
      <w:pPr>
        <w:ind w:left="480" w:right="519"/>
        <w:spacing w:after="0" w:line="257" w:lineRule="auto"/>
        <w:rPr>
          <w:sz w:val="20"/>
          <w:szCs w:val="20"/>
          <w:color w:val="auto"/>
        </w:rPr>
      </w:pPr>
      <w:r>
        <w:rPr>
          <w:rFonts w:ascii="Times New Roman" w:cs="Times New Roman" w:eastAsia="Times New Roman" w:hAnsi="Times New Roman"/>
          <w:sz w:val="17"/>
          <w:szCs w:val="17"/>
          <w:color w:val="auto"/>
        </w:rPr>
        <w:t>We are currently an “emerging growth company” as defined in Section 2(a)(19) of the Securities Act, as modified by the Jumpstart Our Business Startups Act, or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of 2002, (ii) the exemptions from say-on-pay, say-on-frequency and say-on-golden parachute voting requirements and (iii) reduced disclosure obligations regarding executive compensation in our periodic reports and proxy statements.</w:t>
      </w:r>
    </w:p>
    <w:p>
      <w:pPr>
        <w:spacing w:after="0" w:line="77" w:lineRule="exact"/>
        <w:rPr>
          <w:sz w:val="20"/>
          <w:szCs w:val="20"/>
          <w:color w:val="auto"/>
        </w:rPr>
      </w:pPr>
    </w:p>
    <w:p>
      <w:pPr>
        <w:ind w:left="480" w:right="499"/>
        <w:spacing w:after="0" w:line="259"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7" w:name="page8"/>
    <w:bookmarkEnd w:id="7"/>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18" w:lineRule="exact"/>
        <w:rPr>
          <w:sz w:val="20"/>
          <w:szCs w:val="20"/>
          <w:color w:val="auto"/>
        </w:rPr>
      </w:pPr>
    </w:p>
    <w:p>
      <w:pPr>
        <w:ind w:left="480" w:right="659"/>
        <w:spacing w:after="0" w:line="286" w:lineRule="auto"/>
        <w:rPr>
          <w:sz w:val="20"/>
          <w:szCs w:val="20"/>
          <w:color w:val="auto"/>
        </w:rPr>
      </w:pPr>
      <w:r>
        <w:rPr>
          <w:rFonts w:ascii="Times New Roman" w:cs="Times New Roman" w:eastAsia="Times New Roman" w:hAnsi="Times New Roman"/>
          <w:sz w:val="17"/>
          <w:szCs w:val="17"/>
          <w:color w:val="auto"/>
        </w:rPr>
        <w:t>We are registering the resale by the Selling Securityholders or their permitted transferees of up to 3,053,263 shares of our Class A common stock.</w:t>
      </w:r>
    </w:p>
    <w:p>
      <w:pPr>
        <w:sectPr>
          <w:pgSz w:w="11900" w:h="16838" w:orient="portrait"/>
          <w:cols w:equalWidth="0" w:num="1">
            <w:col w:w="9019"/>
          </w:cols>
          <w:pgMar w:left="1440" w:top="257" w:right="1440" w:bottom="1440" w:gutter="0" w:footer="0" w:header="0"/>
        </w:sectPr>
      </w:pP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Resale of Class A common stock</w:t>
      </w:r>
    </w:p>
    <w:p>
      <w:pPr>
        <w:spacing w:after="0" w:line="114" w:lineRule="exact"/>
        <w:rPr>
          <w:sz w:val="20"/>
          <w:szCs w:val="20"/>
          <w:color w:val="auto"/>
        </w:rPr>
      </w:pPr>
    </w:p>
    <w:p>
      <w:pPr>
        <w:ind w:left="660" w:hanging="171"/>
        <w:spacing w:after="0" w:line="291" w:lineRule="auto"/>
        <w:rPr>
          <w:sz w:val="20"/>
          <w:szCs w:val="20"/>
          <w:color w:val="auto"/>
        </w:rPr>
      </w:pPr>
      <w:r>
        <w:rPr>
          <w:rFonts w:ascii="Times New Roman" w:cs="Times New Roman" w:eastAsia="Times New Roman" w:hAnsi="Times New Roman"/>
          <w:sz w:val="17"/>
          <w:szCs w:val="17"/>
          <w:b w:val="1"/>
          <w:bCs w:val="1"/>
          <w:color w:val="auto"/>
        </w:rPr>
        <w:t>Class A common stock that may be sold by the Selling Securityholders named herein</w:t>
      </w:r>
    </w:p>
    <w:p>
      <w:pPr>
        <w:spacing w:after="0" w:line="67" w:lineRule="exact"/>
        <w:rPr>
          <w:sz w:val="20"/>
          <w:szCs w:val="20"/>
          <w:color w:val="auto"/>
        </w:rPr>
      </w:pPr>
    </w:p>
    <w:p>
      <w:pPr>
        <w:ind w:left="480" w:right="840"/>
        <w:spacing w:after="0" w:line="465" w:lineRule="auto"/>
        <w:rPr>
          <w:sz w:val="20"/>
          <w:szCs w:val="20"/>
          <w:color w:val="auto"/>
        </w:rPr>
      </w:pPr>
      <w:r>
        <w:rPr>
          <w:rFonts w:ascii="Times New Roman" w:cs="Times New Roman" w:eastAsia="Times New Roman" w:hAnsi="Times New Roman"/>
          <w:sz w:val="17"/>
          <w:szCs w:val="17"/>
          <w:b w:val="1"/>
          <w:bCs w:val="1"/>
          <w:color w:val="auto"/>
        </w:rPr>
        <w:t>Class A common stock outstanding Use of proceeds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0" w:right="1100"/>
        <w:spacing w:after="0" w:line="449" w:lineRule="auto"/>
        <w:rPr>
          <w:sz w:val="20"/>
          <w:szCs w:val="20"/>
          <w:color w:val="auto"/>
        </w:rPr>
      </w:pPr>
      <w:r>
        <w:rPr>
          <w:rFonts w:ascii="Times New Roman" w:cs="Times New Roman" w:eastAsia="Times New Roman" w:hAnsi="Times New Roman"/>
          <w:sz w:val="17"/>
          <w:szCs w:val="17"/>
          <w:b w:val="1"/>
          <w:bCs w:val="1"/>
          <w:color w:val="auto"/>
        </w:rPr>
        <w:t>Nasdaq Capital Market symbol 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Up to an aggregate of 3,053,263 shares.</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110,744,073.25 shares as of June 18, 2026.</w:t>
      </w:r>
    </w:p>
    <w:p>
      <w:pPr>
        <w:spacing w:after="0" w:line="152" w:lineRule="exact"/>
        <w:rPr>
          <w:sz w:val="20"/>
          <w:szCs w:val="20"/>
          <w:color w:val="auto"/>
        </w:rPr>
      </w:pPr>
    </w:p>
    <w:p>
      <w:pPr>
        <w:ind w:left="140" w:right="679"/>
        <w:spacing w:after="0" w:line="261" w:lineRule="auto"/>
        <w:rPr>
          <w:sz w:val="20"/>
          <w:szCs w:val="20"/>
          <w:color w:val="auto"/>
        </w:rPr>
      </w:pPr>
      <w:r>
        <w:rPr>
          <w:rFonts w:ascii="Times New Roman" w:cs="Times New Roman" w:eastAsia="Times New Roman" w:hAnsi="Times New Roman"/>
          <w:sz w:val="17"/>
          <w:szCs w:val="17"/>
          <w:color w:val="auto"/>
        </w:rPr>
        <w:t>All of the shares of Class A common stock offered by the Selling Securityholders pursuant to this prospectus will be sold by the Selling Securityholders for their respective accounts. We will not receive any of the proceeds from these sales.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“ALTI”</w:t>
      </w:r>
    </w:p>
    <w:p>
      <w:pPr>
        <w:spacing w:after="0" w:line="139" w:lineRule="exact"/>
        <w:rPr>
          <w:sz w:val="20"/>
          <w:szCs w:val="20"/>
          <w:color w:val="auto"/>
        </w:rPr>
      </w:pPr>
    </w:p>
    <w:p>
      <w:pPr>
        <w:ind w:left="140" w:right="559"/>
        <w:spacing w:after="0" w:line="264" w:lineRule="auto"/>
        <w:rPr>
          <w:sz w:val="20"/>
          <w:szCs w:val="20"/>
          <w:color w:val="auto"/>
        </w:rPr>
      </w:pPr>
      <w:r>
        <w:rPr>
          <w:rFonts w:ascii="Times New Roman" w:cs="Times New Roman" w:eastAsia="Times New Roman" w:hAnsi="Times New Roman"/>
          <w:sz w:val="17"/>
          <w:szCs w:val="17"/>
          <w:color w:val="auto"/>
        </w:rPr>
        <w:t>Any investment in the Class A common stock offered hereby is speculative and involves a high degree of risk. You should carefully consider the information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elsewhere in this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131445</wp:posOffset>
            </wp:positionV>
            <wp:extent cx="667258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2">
            <w:col w:w="3880" w:space="580"/>
            <w:col w:w="4559"/>
          </w:cols>
          <w:pgMar w:left="1440" w:top="257" w:right="1440" w:bottom="1440" w:gutter="0" w:footer="0" w:header="0"/>
          <w:type w:val="continuous"/>
        </w:sectPr>
      </w:pPr>
    </w:p>
    <w:bookmarkStart w:id="8" w:name="page9"/>
    <w:bookmarkEnd w:id="8"/>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8" w:lineRule="exact"/>
        <w:rPr>
          <w:sz w:val="20"/>
          <w:szCs w:val="20"/>
          <w:color w:val="auto"/>
        </w:rPr>
      </w:pPr>
    </w:p>
    <w:p>
      <w:pPr>
        <w:ind w:left="480" w:right="539"/>
        <w:spacing w:after="0" w:line="256" w:lineRule="auto"/>
        <w:rPr>
          <w:sz w:val="20"/>
          <w:szCs w:val="20"/>
          <w:color w:val="auto"/>
        </w:rPr>
      </w:pPr>
      <w:r>
        <w:rPr>
          <w:rFonts w:ascii="Times New Roman" w:cs="Times New Roman" w:eastAsia="Times New Roman" w:hAnsi="Times New Roman"/>
          <w:sz w:val="17"/>
          <w:szCs w:val="17"/>
          <w:color w:val="auto"/>
        </w:rPr>
        <w:t>An investment in our securities involves risks and uncertainties.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w:t>
      </w:r>
      <w:r>
        <w:rPr>
          <w:rFonts w:ascii="Times New Roman" w:cs="Times New Roman" w:eastAsia="Times New Roman" w:hAnsi="Times New Roman"/>
          <w:sz w:val="17"/>
          <w:szCs w:val="17"/>
          <w:i w:val="1"/>
          <w:iCs w:val="1"/>
          <w:color w:val="auto"/>
        </w:rPr>
        <w:t>Cautionary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 Regarding Forward-Looking Statements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9" w:name="page10"/>
    <w:bookmarkEnd w:id="9"/>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8" w:lineRule="exact"/>
        <w:rPr>
          <w:sz w:val="20"/>
          <w:szCs w:val="20"/>
          <w:color w:val="auto"/>
        </w:rPr>
      </w:pPr>
    </w:p>
    <w:p>
      <w:pPr>
        <w:jc w:val="both"/>
        <w:ind w:left="480" w:right="559"/>
        <w:spacing w:after="0" w:line="269" w:lineRule="auto"/>
        <w:rPr>
          <w:sz w:val="20"/>
          <w:szCs w:val="20"/>
          <w:color w:val="auto"/>
        </w:rPr>
      </w:pPr>
      <w:r>
        <w:rPr>
          <w:rFonts w:ascii="Times New Roman" w:cs="Times New Roman" w:eastAsia="Times New Roman" w:hAnsi="Times New Roman"/>
          <w:sz w:val="17"/>
          <w:szCs w:val="17"/>
          <w:color w:val="auto"/>
        </w:rPr>
        <w:t>All of the shares of Class A common stock offered by the Selling Securityholders pursuant to this prospectus will be sold by the Selling Securityholders for their respective accounts. We will not receive any of the proceeds from these sales.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18" w:lineRule="exact"/>
        <w:rPr>
          <w:sz w:val="20"/>
          <w:szCs w:val="20"/>
          <w:color w:val="auto"/>
        </w:rPr>
      </w:pPr>
    </w:p>
    <w:p>
      <w:pPr>
        <w:ind w:left="480" w:right="579"/>
        <w:spacing w:after="0" w:line="261" w:lineRule="auto"/>
        <w:rPr>
          <w:sz w:val="20"/>
          <w:szCs w:val="20"/>
          <w:color w:val="auto"/>
        </w:rPr>
      </w:pPr>
      <w:r>
        <w:rPr>
          <w:rFonts w:ascii="Times New Roman" w:cs="Times New Roman" w:eastAsia="Times New Roman" w:hAnsi="Times New Roman"/>
          <w:sz w:val="17"/>
          <w:szCs w:val="17"/>
          <w:color w:val="auto"/>
        </w:rPr>
        <w:t>This prospectus relates to the resale by the Selling Securityholders from time to time of up to 3,053,263 shares of Class A common stock that were issued to the Selling Securityholders in a private placement. The shares of Class A common stock being offered by the Selling Securityholders are those previously issued to the Selling Securityholders as stock consideration in connection with the Company’s acquisition of AL Wealth Management in April 2023.</w:t>
      </w:r>
    </w:p>
    <w:p>
      <w:pPr>
        <w:spacing w:after="0" w:line="70" w:lineRule="exact"/>
        <w:rPr>
          <w:sz w:val="20"/>
          <w:szCs w:val="20"/>
          <w:color w:val="auto"/>
        </w:rPr>
      </w:pPr>
    </w:p>
    <w:p>
      <w:pPr>
        <w:ind w:left="480" w:right="679"/>
        <w:spacing w:after="0" w:line="261" w:lineRule="auto"/>
        <w:rPr>
          <w:sz w:val="20"/>
          <w:szCs w:val="20"/>
          <w:color w:val="auto"/>
        </w:rPr>
      </w:pPr>
      <w:r>
        <w:rPr>
          <w:rFonts w:ascii="Times New Roman" w:cs="Times New Roman" w:eastAsia="Times New Roman" w:hAnsi="Times New Roman"/>
          <w:sz w:val="17"/>
          <w:szCs w:val="17"/>
          <w:color w:val="auto"/>
        </w:rPr>
        <w:t>The Selling Securityholders may from time to time offer and sell any or all of the shares of Class A common stock registered hereunder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shares of Class A common stock other than through a public sale.</w:t>
      </w:r>
    </w:p>
    <w:p>
      <w:pPr>
        <w:spacing w:after="0" w:line="70" w:lineRule="exact"/>
        <w:rPr>
          <w:sz w:val="20"/>
          <w:szCs w:val="20"/>
          <w:color w:val="auto"/>
        </w:rPr>
      </w:pPr>
    </w:p>
    <w:p>
      <w:pPr>
        <w:ind w:left="480" w:right="519"/>
        <w:spacing w:after="0" w:line="256" w:lineRule="auto"/>
        <w:rPr>
          <w:sz w:val="20"/>
          <w:szCs w:val="20"/>
          <w:color w:val="auto"/>
        </w:rPr>
      </w:pPr>
      <w:r>
        <w:rPr>
          <w:rFonts w:ascii="Times New Roman" w:cs="Times New Roman" w:eastAsia="Times New Roman" w:hAnsi="Times New Roman"/>
          <w:sz w:val="17"/>
          <w:szCs w:val="17"/>
          <w:color w:val="auto"/>
        </w:rPr>
        <w:t>The following table has been prepared based on information provided to us by the Selling Securityholders. It sets forth the names and addresses of the Selling Securityholders, the aggregate number of shares of Class A common stock that the Selling Securityholders may offer pursuant to this prospectus, and the beneficial ownership of the Selling Securityholders both before and after the offering. We have based percentage ownership prior to this offering on 110,744,073.25 shares of Class A common stock outstanding as of June 18, 2026. We cannot advise you as to whether the Selling Securityholders will in fact sell any or all of such shares of Class A common stock. In addition, the Selling Securityholders may sell, transfer or otherwise dispose of, at any time and from time to time, the shares of Class A common stock in transactions exempt from the registration requirements of the Securities Act, after the date of this prospectus. For purposes of this table, we have assumed that the Selling Securityholders will have sold all of the shares of Class A common stock covered by this prospectus upon the completion of the offering.</w:t>
      </w:r>
    </w:p>
    <w:p>
      <w:pPr>
        <w:spacing w:after="0" w:line="78" w:lineRule="exact"/>
        <w:rPr>
          <w:sz w:val="20"/>
          <w:szCs w:val="20"/>
          <w:color w:val="auto"/>
        </w:rPr>
      </w:pPr>
    </w:p>
    <w:p>
      <w:pPr>
        <w:ind w:left="480" w:right="519"/>
        <w:spacing w:after="0" w:line="231"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shown as beneficially owned by them, subject to community property laws where applicable. Except as otherwise set forth below, the address of the beneficial owner is c/o AlTi Global, Inc., 22 Vanderbilt Avenue,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10017.</w:t>
      </w:r>
    </w:p>
    <w:p>
      <w:pPr>
        <w:spacing w:after="0" w:line="89" w:lineRule="exact"/>
        <w:rPr>
          <w:sz w:val="20"/>
          <w:szCs w:val="20"/>
          <w:color w:val="auto"/>
        </w:rPr>
      </w:pPr>
    </w:p>
    <w:p>
      <w:pPr>
        <w:ind w:left="480" w:right="599"/>
        <w:spacing w:after="0" w:line="261" w:lineRule="auto"/>
        <w:rPr>
          <w:sz w:val="20"/>
          <w:szCs w:val="20"/>
          <w:color w:val="auto"/>
        </w:rPr>
      </w:pPr>
      <w:r>
        <w:rPr>
          <w:rFonts w:ascii="Times New Roman" w:cs="Times New Roman" w:eastAsia="Times New Roman" w:hAnsi="Times New Roman"/>
          <w:sz w:val="17"/>
          <w:szCs w:val="17"/>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for additional information.</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22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5"/>
              </w:rPr>
              <w:t>Shares of Class A</w:t>
            </w:r>
          </w:p>
        </w:tc>
        <w:tc>
          <w:tcPr>
            <w:tcW w:w="20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after the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to Offering</w:t>
            </w: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Offered Shares are Sold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vMerge w:val="restart"/>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Offered</w:t>
            </w:r>
          </w:p>
        </w:tc>
        <w:tc>
          <w:tcPr>
            <w:tcW w:w="20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Hui May Yan Anthonia</w:t>
            </w:r>
            <w:r>
              <w:rPr>
                <w:rFonts w:ascii="Times New Roman" w:cs="Times New Roman" w:eastAsia="Times New Roman" w:hAnsi="Times New Roman"/>
                <w:sz w:val="27"/>
                <w:szCs w:val="27"/>
                <w:color w:val="auto"/>
                <w:vertAlign w:val="superscript"/>
              </w:rPr>
              <w:t>(1)</w:t>
            </w:r>
          </w:p>
        </w:tc>
        <w:tc>
          <w:tcPr>
            <w:tcW w:w="90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1,603,164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gridSpan w:val="2"/>
            <w:shd w:val="clear" w:color="auto" w:fill="CCEEFF"/>
          </w:tcPr>
          <w:p>
            <w:pPr>
              <w:jc w:val="center"/>
              <w:ind w:left="100"/>
              <w:spacing w:after="0"/>
              <w:rPr>
                <w:sz w:val="20"/>
                <w:szCs w:val="20"/>
                <w:color w:val="auto"/>
              </w:rPr>
            </w:pPr>
            <w:r>
              <w:rPr>
                <w:rFonts w:ascii="Times New Roman" w:cs="Times New Roman" w:eastAsia="Times New Roman" w:hAnsi="Times New Roman"/>
                <w:sz w:val="17"/>
                <w:szCs w:val="17"/>
                <w:color w:val="auto"/>
                <w:w w:val="99"/>
              </w:rPr>
              <w:t>1,557,164</w:t>
            </w:r>
          </w:p>
        </w:tc>
        <w:tc>
          <w:tcPr>
            <w:tcW w:w="8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7"/>
                <w:szCs w:val="17"/>
                <w:color w:val="auto"/>
              </w:rPr>
              <w:t>46,000</w:t>
            </w:r>
          </w:p>
        </w:tc>
        <w:tc>
          <w:tcPr>
            <w:tcW w:w="8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Leonardo Drago</w:t>
            </w:r>
            <w:r>
              <w:rPr>
                <w:rFonts w:ascii="Times New Roman" w:cs="Times New Roman" w:eastAsia="Times New Roman" w:hAnsi="Times New Roman"/>
                <w:sz w:val="28"/>
                <w:szCs w:val="28"/>
                <w:color w:val="auto"/>
                <w:vertAlign w:val="superscript"/>
              </w:rPr>
              <w:t>(2)</w:t>
            </w:r>
          </w:p>
        </w:tc>
        <w:tc>
          <w:tcPr>
            <w:tcW w:w="90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1,533,315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17"/>
                <w:szCs w:val="17"/>
                <w:color w:val="auto"/>
                <w:w w:val="99"/>
              </w:rPr>
              <w:t>1,496,099</w:t>
            </w:r>
          </w:p>
        </w:tc>
        <w:tc>
          <w:tcPr>
            <w:tcW w:w="860" w:type="dxa"/>
            <w:vAlign w:val="bottom"/>
            <w:gridSpan w:val="2"/>
          </w:tcPr>
          <w:p>
            <w:pPr>
              <w:jc w:val="right"/>
              <w:ind w:right="31"/>
              <w:spacing w:after="0"/>
              <w:rPr>
                <w:sz w:val="20"/>
                <w:szCs w:val="20"/>
                <w:color w:val="auto"/>
              </w:rPr>
            </w:pPr>
            <w:r>
              <w:rPr>
                <w:rFonts w:ascii="Times New Roman" w:cs="Times New Roman" w:eastAsia="Times New Roman" w:hAnsi="Times New Roman"/>
                <w:sz w:val="17"/>
                <w:szCs w:val="17"/>
                <w:color w:val="auto"/>
              </w:rPr>
              <w:t>37,216</w:t>
            </w:r>
          </w:p>
        </w:tc>
        <w:tc>
          <w:tcPr>
            <w:tcW w:w="840" w:type="dxa"/>
            <w:vAlign w:val="bottom"/>
            <w:gridSpan w:val="2"/>
          </w:tcPr>
          <w:p>
            <w:pPr>
              <w:jc w:val="right"/>
              <w:ind w:right="17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80010</wp:posOffset>
            </wp:positionV>
            <wp:extent cx="78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150" w:lineRule="exact"/>
        <w:rPr>
          <w:sz w:val="20"/>
          <w:szCs w:val="20"/>
          <w:color w:val="auto"/>
        </w:rPr>
      </w:pPr>
    </w:p>
    <w:p>
      <w:pPr>
        <w:ind w:left="820" w:hanging="334"/>
        <w:spacing w:after="0"/>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32" w:lineRule="exact"/>
        <w:rPr>
          <w:sz w:val="20"/>
          <w:szCs w:val="20"/>
          <w:color w:val="auto"/>
        </w:rPr>
      </w:pPr>
    </w:p>
    <w:p>
      <w:pPr>
        <w:ind w:left="820" w:hanging="334"/>
        <w:spacing w:after="0"/>
        <w:tabs>
          <w:tab w:leader="none" w:pos="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Hui May Yan Anthonia is 20 Cove Grove, Singapore 098131.</w:t>
      </w:r>
    </w:p>
    <w:p>
      <w:pPr>
        <w:spacing w:after="0" w:line="32" w:lineRule="exact"/>
        <w:rPr>
          <w:rFonts w:ascii="Times New Roman" w:cs="Times New Roman" w:eastAsia="Times New Roman" w:hAnsi="Times New Roman"/>
          <w:sz w:val="14"/>
          <w:szCs w:val="14"/>
          <w:color w:val="auto"/>
        </w:rPr>
      </w:pPr>
    </w:p>
    <w:p>
      <w:pPr>
        <w:ind w:left="820" w:right="579" w:hanging="334"/>
        <w:spacing w:after="0" w:line="224" w:lineRule="auto"/>
        <w:tabs>
          <w:tab w:leader="none" w:pos="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Leonardo Drago is 20 Cove Grove, Singapore 098131. Of the 1,533,315 shares of Class A Common Stock reported as beneficially owned by Leonardo Drago prior to the offering, 1,496,099 shares are held directly by Mr. Drago and 37,216 shares are held of record by Elysium Holdings Enterprises Ltd., an investment holding company. Mr. Drago may be deemed to beneficially own the 37,216 shares held by such entity.</w:t>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Material Relationships with the Selling Securityholders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Selling Securityholders have been employees of the Company and its subsidiaries since April 2023.</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8" w:lineRule="exact"/>
        <w:rPr>
          <w:sz w:val="20"/>
          <w:szCs w:val="20"/>
          <w:color w:val="auto"/>
        </w:rPr>
      </w:pPr>
    </w:p>
    <w:p>
      <w:pPr>
        <w:ind w:left="480" w:right="659"/>
        <w:spacing w:after="0" w:line="286" w:lineRule="auto"/>
        <w:rPr>
          <w:sz w:val="20"/>
          <w:szCs w:val="20"/>
          <w:color w:val="auto"/>
        </w:rPr>
      </w:pPr>
      <w:r>
        <w:rPr>
          <w:rFonts w:ascii="Times New Roman" w:cs="Times New Roman" w:eastAsia="Times New Roman" w:hAnsi="Times New Roman"/>
          <w:sz w:val="17"/>
          <w:szCs w:val="17"/>
          <w:color w:val="auto"/>
        </w:rPr>
        <w:t>We are registering the resale by the Selling Securityholders or their permitted transferees of up to 3,053,263 shares of our Class A common stock that were issued to the Selling Securityholders in a private placement.</w:t>
      </w:r>
    </w:p>
    <w:p>
      <w:pPr>
        <w:spacing w:after="0" w:line="49" w:lineRule="exact"/>
        <w:rPr>
          <w:sz w:val="20"/>
          <w:szCs w:val="20"/>
          <w:color w:val="auto"/>
        </w:rPr>
      </w:pPr>
    </w:p>
    <w:p>
      <w:pPr>
        <w:ind w:left="480" w:right="53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the sale of shares of Class A common stock by the Selling Securityholders pursuant to this prospectus. The Selling Securityholders will pay any underwriting discounts and commissions and expenses incurred by the Selling Securityholders in disposing of the shares of Class A common stock. We will bear all other costs, fees and expenses incurred in effecting the registration of the shares of Class A common stock covered by this prospectus, including, without limitation, all registration and filing fees, Nasdaq listing fees and fees and expenses of our counsel and our independent registered public accountants.</w:t>
      </w:r>
    </w:p>
    <w:p>
      <w:pPr>
        <w:spacing w:after="0" w:line="73" w:lineRule="exact"/>
        <w:rPr>
          <w:sz w:val="20"/>
          <w:szCs w:val="20"/>
          <w:color w:val="auto"/>
        </w:rPr>
      </w:pPr>
    </w:p>
    <w:p>
      <w:pPr>
        <w:ind w:left="480" w:right="519"/>
        <w:spacing w:after="0" w:line="255" w:lineRule="auto"/>
        <w:rPr>
          <w:sz w:val="20"/>
          <w:szCs w:val="20"/>
          <w:color w:val="auto"/>
        </w:rPr>
      </w:pPr>
      <w:r>
        <w:rPr>
          <w:rFonts w:ascii="Times New Roman" w:cs="Times New Roman" w:eastAsia="Times New Roman" w:hAnsi="Times New Roman"/>
          <w:sz w:val="17"/>
          <w:szCs w:val="17"/>
          <w:color w:val="auto"/>
        </w:rPr>
        <w:t>The shares of Class A common stock being registered hereunder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securities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76" w:lineRule="exact"/>
        <w:rPr>
          <w:sz w:val="20"/>
          <w:szCs w:val="20"/>
          <w:color w:val="auto"/>
        </w:rPr>
      </w:pPr>
    </w:p>
    <w:p>
      <w:pPr>
        <w:ind w:left="480" w:right="679"/>
        <w:spacing w:after="0" w:line="286" w:lineRule="auto"/>
        <w:rPr>
          <w:sz w:val="20"/>
          <w:szCs w:val="20"/>
          <w:color w:val="auto"/>
        </w:rPr>
      </w:pPr>
      <w:r>
        <w:rPr>
          <w:rFonts w:ascii="Times New Roman" w:cs="Times New Roman" w:eastAsia="Times New Roman" w:hAnsi="Times New Roman"/>
          <w:sz w:val="17"/>
          <w:szCs w:val="17"/>
          <w:color w:val="auto"/>
        </w:rPr>
        <w:t>Subject to the limitations set forth in any applicable registration rights agreement, the Selling Securityholders may use any one or more of the following methods when selling the securities offered by this prospectus:</w:t>
      </w:r>
    </w:p>
    <w:p>
      <w:pPr>
        <w:spacing w:after="0" w:line="49" w:lineRule="exact"/>
        <w:rPr>
          <w:sz w:val="20"/>
          <w:szCs w:val="20"/>
          <w:color w:val="auto"/>
        </w:rPr>
      </w:pPr>
    </w:p>
    <w:p>
      <w:pPr>
        <w:ind w:left="1160" w:right="599" w:hanging="330"/>
        <w:spacing w:after="0" w:line="286"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49"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13" w:lineRule="exact"/>
        <w:rPr>
          <w:rFonts w:ascii="Times New Roman" w:cs="Times New Roman" w:eastAsia="Times New Roman" w:hAnsi="Times New Roman"/>
          <w:sz w:val="17"/>
          <w:szCs w:val="17"/>
          <w:color w:val="auto"/>
        </w:rPr>
      </w:pPr>
    </w:p>
    <w:p>
      <w:pPr>
        <w:ind w:left="1160" w:right="879" w:hanging="330"/>
        <w:spacing w:after="0" w:line="286"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securities as agent but may position and resell a portion of the block as principal to facilitate the transaction;</w:t>
      </w:r>
    </w:p>
    <w:p>
      <w:pPr>
        <w:spacing w:after="0" w:line="49"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Nasdaq;</w:t>
      </w:r>
    </w:p>
    <w:p>
      <w:pPr>
        <w:spacing w:after="0" w:line="113" w:lineRule="exact"/>
        <w:rPr>
          <w:rFonts w:ascii="Times New Roman" w:cs="Times New Roman" w:eastAsia="Times New Roman" w:hAnsi="Times New Roman"/>
          <w:sz w:val="17"/>
          <w:szCs w:val="17"/>
          <w:color w:val="auto"/>
        </w:rPr>
      </w:pPr>
    </w:p>
    <w:p>
      <w:pPr>
        <w:ind w:left="1160" w:right="659" w:hanging="330"/>
        <w:spacing w:after="0" w:line="264"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underwritten offerings on a firm commitment or best efforts basis;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 entered into after the date of this prospectus;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with broker-dealers to sell a specified number of the securities at a stipulated price per share;</w:t>
      </w:r>
    </w:p>
    <w:p>
      <w:pPr>
        <w:spacing w:after="0" w:line="113" w:lineRule="exact"/>
        <w:rPr>
          <w:rFonts w:ascii="Times New Roman" w:cs="Times New Roman" w:eastAsia="Times New Roman" w:hAnsi="Times New Roman"/>
          <w:sz w:val="17"/>
          <w:szCs w:val="17"/>
          <w:color w:val="auto"/>
        </w:rPr>
      </w:pPr>
    </w:p>
    <w:p>
      <w:pPr>
        <w:ind w:left="1160" w:right="519" w:hanging="330"/>
        <w:spacing w:after="0" w:line="264"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7" w:lineRule="exact"/>
        <w:rPr>
          <w:rFonts w:ascii="Times New Roman" w:cs="Times New Roman" w:eastAsia="Times New Roman" w:hAnsi="Times New Roman"/>
          <w:sz w:val="17"/>
          <w:szCs w:val="17"/>
          <w:color w:val="auto"/>
        </w:rPr>
      </w:pPr>
    </w:p>
    <w:p>
      <w:pPr>
        <w:ind w:left="1160" w:right="1059" w:hanging="330"/>
        <w:spacing w:after="0" w:line="286"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including through a specific bidding, auction or other process or in privately negotiated transactions;</w:t>
      </w:r>
    </w:p>
    <w:p>
      <w:pPr>
        <w:spacing w:after="0" w:line="49" w:lineRule="exact"/>
        <w:rPr>
          <w:rFonts w:ascii="Times New Roman" w:cs="Times New Roman" w:eastAsia="Times New Roman" w:hAnsi="Times New Roman"/>
          <w:sz w:val="17"/>
          <w:szCs w:val="17"/>
          <w:color w:val="auto"/>
        </w:rPr>
      </w:pPr>
    </w:p>
    <w:p>
      <w:pPr>
        <w:ind w:left="1160" w:right="859" w:hanging="330"/>
        <w:spacing w:after="0" w:line="286"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160" w:hanging="330"/>
        <w:spacing w:after="0"/>
        <w:tabs>
          <w:tab w:leader="none" w:pos="11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14" w:lineRule="exact"/>
        <w:rPr>
          <w:sz w:val="20"/>
          <w:szCs w:val="20"/>
          <w:color w:val="auto"/>
        </w:rPr>
      </w:pPr>
    </w:p>
    <w:p>
      <w:pPr>
        <w:ind w:left="480" w:right="499"/>
        <w:spacing w:after="0" w:line="259" w:lineRule="auto"/>
        <w:rPr>
          <w:sz w:val="20"/>
          <w:szCs w:val="20"/>
          <w:color w:val="auto"/>
        </w:rPr>
      </w:pPr>
      <w:r>
        <w:rPr>
          <w:rFonts w:ascii="Times New Roman" w:cs="Times New Roman" w:eastAsia="Times New Roman" w:hAnsi="Times New Roman"/>
          <w:sz w:val="17"/>
          <w:szCs w:val="17"/>
          <w:color w:val="auto"/>
        </w:rPr>
        <w:t>There can be no assurance that the Selling Securityholders will sell all or any of the shares of Class A common stock offered by this prospectus. In addition, the Selling Securityholders may also sell shares of Class A common stock under Rule 144 under the Securities Act, if available, or in other transactions exempt from registration, rather than under this prospectus. The Selling Securityholders have the sole and absolute discretion not to accept any purchase offer or make any sale of shares of Class A common stock if they deem the purchase price to be unsatisfactory at any particular time.</w:t>
      </w:r>
    </w:p>
    <w:p>
      <w:pPr>
        <w:spacing w:after="0" w:line="73" w:lineRule="exact"/>
        <w:rPr>
          <w:sz w:val="20"/>
          <w:szCs w:val="20"/>
          <w:color w:val="auto"/>
        </w:rPr>
      </w:pPr>
    </w:p>
    <w:p>
      <w:pPr>
        <w:ind w:left="480" w:right="519"/>
        <w:spacing w:after="0" w:line="261" w:lineRule="auto"/>
        <w:rPr>
          <w:sz w:val="20"/>
          <w:szCs w:val="20"/>
          <w:color w:val="auto"/>
        </w:rPr>
      </w:pPr>
      <w:r>
        <w:rPr>
          <w:rFonts w:ascii="Times New Roman" w:cs="Times New Roman" w:eastAsia="Times New Roman" w:hAnsi="Times New Roman"/>
          <w:sz w:val="17"/>
          <w:szCs w:val="17"/>
          <w:color w:val="auto"/>
        </w:rPr>
        <w:t>The Selling Securityholders also may transfer the shares of Class A common stock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70" w:lineRule="exact"/>
        <w:rPr>
          <w:sz w:val="20"/>
          <w:szCs w:val="20"/>
          <w:color w:val="auto"/>
        </w:rPr>
      </w:pPr>
    </w:p>
    <w:p>
      <w:pPr>
        <w:ind w:left="480" w:right="599"/>
        <w:spacing w:after="0" w:line="269" w:lineRule="auto"/>
        <w:rPr>
          <w:sz w:val="20"/>
          <w:szCs w:val="20"/>
          <w:color w:val="auto"/>
        </w:rPr>
      </w:pPr>
      <w:r>
        <w:rPr>
          <w:rFonts w:ascii="Times New Roman" w:cs="Times New Roman" w:eastAsia="Times New Roman" w:hAnsi="Times New Roman"/>
          <w:sz w:val="17"/>
          <w:szCs w:val="17"/>
          <w:color w:val="auto"/>
        </w:rPr>
        <w:t>With respect to a particular offering of the shares of Class A common stock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64" w:lineRule="exact"/>
        <w:rPr>
          <w:sz w:val="20"/>
          <w:szCs w:val="20"/>
          <w:color w:val="auto"/>
        </w:rPr>
      </w:pPr>
    </w:p>
    <w:p>
      <w:pPr>
        <w:ind w:left="1160" w:hanging="330"/>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securities to be offered and sold;</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the selling securityholders;</w:t>
      </w:r>
    </w:p>
    <w:p>
      <w:pPr>
        <w:spacing w:after="0" w:line="113" w:lineRule="exact"/>
        <w:rPr>
          <w:rFonts w:ascii="Times New Roman" w:cs="Times New Roman" w:eastAsia="Times New Roman" w:hAnsi="Times New Roman"/>
          <w:sz w:val="17"/>
          <w:szCs w:val="17"/>
          <w:color w:val="auto"/>
        </w:rPr>
      </w:pPr>
    </w:p>
    <w:p>
      <w:pPr>
        <w:ind w:left="1160" w:right="579" w:hanging="330"/>
        <w:spacing w:after="0" w:line="28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purchase prices and public offering prices, the proceeds to be received from the sale, if any, and other material terms of the offering;</w:t>
      </w:r>
    </w:p>
    <w:p>
      <w:pPr>
        <w:spacing w:after="0" w:line="49"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 entered into after the date of this prospectus;</w:t>
      </w:r>
    </w:p>
    <w:p>
      <w:pPr>
        <w:spacing w:after="0" w:line="113" w:lineRule="exact"/>
        <w:rPr>
          <w:rFonts w:ascii="Times New Roman" w:cs="Times New Roman" w:eastAsia="Times New Roman" w:hAnsi="Times New Roman"/>
          <w:sz w:val="17"/>
          <w:szCs w:val="17"/>
          <w:color w:val="auto"/>
        </w:rPr>
      </w:pPr>
    </w:p>
    <w:p>
      <w:pPr>
        <w:ind w:left="1160" w:hanging="330"/>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any participating agents, broker-dealers or underwriters; and</w:t>
      </w:r>
    </w:p>
    <w:p>
      <w:pPr>
        <w:spacing w:after="0" w:line="113" w:lineRule="exact"/>
        <w:rPr>
          <w:rFonts w:ascii="Times New Roman" w:cs="Times New Roman" w:eastAsia="Times New Roman" w:hAnsi="Times New Roman"/>
          <w:sz w:val="17"/>
          <w:szCs w:val="17"/>
          <w:color w:val="auto"/>
        </w:rPr>
      </w:pPr>
    </w:p>
    <w:p>
      <w:pPr>
        <w:ind w:left="1160" w:right="699" w:hanging="330"/>
        <w:spacing w:after="0" w:line="28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commissions, discounts, concessions and other items constituting compensation from the selling securityholders.</w:t>
      </w:r>
    </w:p>
    <w:p>
      <w:pPr>
        <w:spacing w:after="0" w:line="49" w:lineRule="exact"/>
        <w:rPr>
          <w:sz w:val="20"/>
          <w:szCs w:val="20"/>
          <w:color w:val="auto"/>
        </w:rPr>
      </w:pPr>
    </w:p>
    <w:p>
      <w:pPr>
        <w:ind w:left="480" w:right="559"/>
        <w:spacing w:after="0" w:line="256" w:lineRule="auto"/>
        <w:rPr>
          <w:sz w:val="20"/>
          <w:szCs w:val="20"/>
          <w:color w:val="auto"/>
        </w:rPr>
      </w:pPr>
      <w:r>
        <w:rPr>
          <w:rFonts w:ascii="Times New Roman" w:cs="Times New Roman" w:eastAsia="Times New Roman" w:hAnsi="Times New Roman"/>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76" w:lineRule="exact"/>
        <w:rPr>
          <w:sz w:val="20"/>
          <w:szCs w:val="20"/>
          <w:color w:val="auto"/>
        </w:rPr>
      </w:pPr>
    </w:p>
    <w:p>
      <w:pPr>
        <w:ind w:left="480" w:right="559"/>
        <w:spacing w:after="0" w:line="256"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80" w:right="519"/>
        <w:spacing w:after="0" w:line="264" w:lineRule="auto"/>
        <w:rPr>
          <w:sz w:val="20"/>
          <w:szCs w:val="20"/>
          <w:color w:val="auto"/>
        </w:rPr>
      </w:pPr>
      <w:r>
        <w:rPr>
          <w:rFonts w:ascii="Times New Roman" w:cs="Times New Roman" w:eastAsia="Times New Roman" w:hAnsi="Times New Roman"/>
          <w:sz w:val="17"/>
          <w:szCs w:val="17"/>
          <w:color w:val="auto"/>
        </w:rPr>
        <w:t>The Selling Securityholders may solicit offers to purchase the securities directly from, and they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Class A common stock is listed on The Nasdaq Capital Market under the symbol “ALTI”.</w:t>
      </w:r>
    </w:p>
    <w:p>
      <w:pPr>
        <w:spacing w:after="0" w:line="114" w:lineRule="exact"/>
        <w:rPr>
          <w:sz w:val="20"/>
          <w:szCs w:val="20"/>
          <w:color w:val="auto"/>
        </w:rPr>
      </w:pPr>
    </w:p>
    <w:p>
      <w:pPr>
        <w:ind w:left="480" w:right="519"/>
        <w:spacing w:after="0" w:line="261" w:lineRule="auto"/>
        <w:rPr>
          <w:sz w:val="20"/>
          <w:szCs w:val="20"/>
          <w:color w:val="auto"/>
        </w:rPr>
      </w:pPr>
      <w:r>
        <w:rPr>
          <w:rFonts w:ascii="Times New Roman" w:cs="Times New Roman" w:eastAsia="Times New Roman" w:hAnsi="Times New Roman"/>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70" w:lineRule="exact"/>
        <w:rPr>
          <w:sz w:val="20"/>
          <w:szCs w:val="20"/>
          <w:color w:val="auto"/>
        </w:rPr>
      </w:pPr>
    </w:p>
    <w:p>
      <w:pPr>
        <w:ind w:left="480" w:right="499"/>
        <w:spacing w:after="0" w:line="256" w:lineRule="auto"/>
        <w:rPr>
          <w:sz w:val="20"/>
          <w:szCs w:val="20"/>
          <w:color w:val="auto"/>
        </w:rPr>
      </w:pPr>
      <w:r>
        <w:rPr>
          <w:rFonts w:ascii="Times New Roman" w:cs="Times New Roman" w:eastAsia="Times New Roman" w:hAnsi="Times New Roman"/>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73" w:lineRule="exact"/>
        <w:rPr>
          <w:sz w:val="20"/>
          <w:szCs w:val="20"/>
          <w:color w:val="auto"/>
        </w:rPr>
      </w:pPr>
    </w:p>
    <w:p>
      <w:pPr>
        <w:ind w:left="480" w:right="579"/>
        <w:spacing w:after="0" w:line="269"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4" w:lineRule="exact"/>
        <w:rPr>
          <w:sz w:val="20"/>
          <w:szCs w:val="20"/>
          <w:color w:val="auto"/>
        </w:rPr>
      </w:pPr>
    </w:p>
    <w:p>
      <w:pPr>
        <w:ind w:left="480" w:right="639"/>
        <w:spacing w:after="0" w:line="264" w:lineRule="auto"/>
        <w:rPr>
          <w:sz w:val="20"/>
          <w:szCs w:val="20"/>
          <w:color w:val="auto"/>
        </w:rPr>
      </w:pPr>
      <w:r>
        <w:rPr>
          <w:rFonts w:ascii="Times New Roman" w:cs="Times New Roman" w:eastAsia="Times New Roman" w:hAnsi="Times New Roman"/>
          <w:sz w:val="17"/>
          <w:szCs w:val="17"/>
          <w:color w:val="auto"/>
        </w:rPr>
        <w:t>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67" w:lineRule="exact"/>
        <w:rPr>
          <w:sz w:val="20"/>
          <w:szCs w:val="20"/>
          <w:color w:val="auto"/>
        </w:rPr>
      </w:pPr>
    </w:p>
    <w:p>
      <w:pPr>
        <w:ind w:left="480" w:right="719"/>
        <w:spacing w:after="0" w:line="269" w:lineRule="auto"/>
        <w:rPr>
          <w:sz w:val="20"/>
          <w:szCs w:val="20"/>
          <w:color w:val="auto"/>
        </w:rPr>
      </w:pPr>
      <w:r>
        <w:rPr>
          <w:rFonts w:ascii="Times New Roman" w:cs="Times New Roman" w:eastAsia="Times New Roman" w:hAnsi="Times New Roman"/>
          <w:sz w:val="17"/>
          <w:szCs w:val="17"/>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64" w:lineRule="exact"/>
        <w:rPr>
          <w:sz w:val="20"/>
          <w:szCs w:val="20"/>
          <w:color w:val="auto"/>
        </w:rPr>
      </w:pPr>
    </w:p>
    <w:p>
      <w:pPr>
        <w:ind w:left="480" w:right="519"/>
        <w:spacing w:after="0" w:line="258" w:lineRule="auto"/>
        <w:rPr>
          <w:sz w:val="20"/>
          <w:szCs w:val="20"/>
          <w:color w:val="auto"/>
        </w:rPr>
      </w:pPr>
      <w:r>
        <w:rPr>
          <w:rFonts w:ascii="Times New Roman" w:cs="Times New Roman" w:eastAsia="Times New Roman" w:hAnsi="Times New Roman"/>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74" w:lineRule="exact"/>
        <w:rPr>
          <w:sz w:val="20"/>
          <w:szCs w:val="20"/>
          <w:color w:val="auto"/>
        </w:rPr>
      </w:pPr>
    </w:p>
    <w:p>
      <w:pPr>
        <w:ind w:left="480" w:right="519"/>
        <w:spacing w:after="0" w:line="269" w:lineRule="auto"/>
        <w:rPr>
          <w:sz w:val="20"/>
          <w:szCs w:val="20"/>
          <w:color w:val="auto"/>
        </w:rPr>
      </w:pPr>
      <w:r>
        <w:rPr>
          <w:rFonts w:ascii="Times New Roman" w:cs="Times New Roman" w:eastAsia="Times New Roman" w:hAnsi="Times New Roman"/>
          <w:sz w:val="17"/>
          <w:szCs w:val="17"/>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64" w:lineRule="exact"/>
        <w:rPr>
          <w:sz w:val="20"/>
          <w:szCs w:val="20"/>
          <w:color w:val="auto"/>
        </w:rPr>
      </w:pPr>
    </w:p>
    <w:p>
      <w:pPr>
        <w:ind w:left="480" w:right="539"/>
        <w:spacing w:after="0" w:line="264" w:lineRule="auto"/>
        <w:rPr>
          <w:sz w:val="20"/>
          <w:szCs w:val="20"/>
          <w:color w:val="auto"/>
        </w:rPr>
      </w:pPr>
      <w:r>
        <w:rPr>
          <w:rFonts w:ascii="Times New Roman" w:cs="Times New Roman" w:eastAsia="Times New Roman" w:hAnsi="Times New Roman"/>
          <w:sz w:val="17"/>
          <w:szCs w:val="17"/>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67" w:lineRule="exact"/>
        <w:rPr>
          <w:sz w:val="20"/>
          <w:szCs w:val="20"/>
          <w:color w:val="auto"/>
        </w:rPr>
      </w:pPr>
    </w:p>
    <w:p>
      <w:pPr>
        <w:ind w:left="480" w:right="739"/>
        <w:spacing w:after="0" w:line="286" w:lineRule="auto"/>
        <w:rPr>
          <w:sz w:val="20"/>
          <w:szCs w:val="20"/>
          <w:color w:val="auto"/>
        </w:rPr>
      </w:pPr>
      <w:r>
        <w:rPr>
          <w:rFonts w:ascii="Times New Roman" w:cs="Times New Roman" w:eastAsia="Times New Roman" w:hAnsi="Times New Roman"/>
          <w:sz w:val="17"/>
          <w:szCs w:val="17"/>
          <w:color w:val="auto"/>
        </w:rPr>
        <w:t>The underwriters, broker-dealers and agents may engage in transactions with us or the Selling Securityholders, or perform services for us or the Selling Securityholders, in the ordinary course of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80" w:right="699"/>
        <w:spacing w:after="0" w:line="264"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67" w:lineRule="exact"/>
        <w:rPr>
          <w:sz w:val="20"/>
          <w:szCs w:val="20"/>
          <w:color w:val="auto"/>
        </w:rPr>
      </w:pPr>
    </w:p>
    <w:p>
      <w:pPr>
        <w:ind w:left="480" w:right="539"/>
        <w:spacing w:after="0" w:line="261" w:lineRule="auto"/>
        <w:rPr>
          <w:sz w:val="20"/>
          <w:szCs w:val="20"/>
          <w:color w:val="auto"/>
        </w:rPr>
      </w:pPr>
      <w:r>
        <w:rPr>
          <w:rFonts w:ascii="Times New Roman" w:cs="Times New Roman" w:eastAsia="Times New Roman" w:hAnsi="Times New Roman"/>
          <w:sz w:val="17"/>
          <w:szCs w:val="17"/>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70" w:lineRule="exact"/>
        <w:rPr>
          <w:sz w:val="20"/>
          <w:szCs w:val="20"/>
          <w:color w:val="auto"/>
        </w:rPr>
      </w:pPr>
    </w:p>
    <w:p>
      <w:pPr>
        <w:ind w:left="480" w:right="879"/>
        <w:spacing w:after="0" w:line="264" w:lineRule="auto"/>
        <w:rPr>
          <w:sz w:val="20"/>
          <w:szCs w:val="20"/>
          <w:color w:val="auto"/>
        </w:rPr>
      </w:pPr>
      <w:r>
        <w:rPr>
          <w:rFonts w:ascii="Times New Roman" w:cs="Times New Roman" w:eastAsia="Times New Roman" w:hAnsi="Times New Roman"/>
          <w:sz w:val="17"/>
          <w:szCs w:val="17"/>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67" w:lineRule="exact"/>
        <w:rPr>
          <w:sz w:val="20"/>
          <w:szCs w:val="20"/>
          <w:color w:val="auto"/>
        </w:rPr>
      </w:pPr>
    </w:p>
    <w:p>
      <w:pPr>
        <w:ind w:left="480" w:right="539"/>
        <w:spacing w:after="0" w:line="261" w:lineRule="auto"/>
        <w:rPr>
          <w:sz w:val="20"/>
          <w:szCs w:val="20"/>
          <w:color w:val="auto"/>
        </w:rPr>
      </w:pPr>
      <w:r>
        <w:rPr>
          <w:rFonts w:ascii="Times New Roman" w:cs="Times New Roman" w:eastAsia="Times New Roman" w:hAnsi="Times New Roman"/>
          <w:sz w:val="17"/>
          <w:szCs w:val="17"/>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18" w:lineRule="exact"/>
        <w:rPr>
          <w:sz w:val="20"/>
          <w:szCs w:val="20"/>
          <w:color w:val="auto"/>
        </w:rPr>
      </w:pPr>
    </w:p>
    <w:p>
      <w:pPr>
        <w:ind w:left="480" w:right="619"/>
        <w:spacing w:after="0" w:line="286" w:lineRule="auto"/>
        <w:rPr>
          <w:sz w:val="20"/>
          <w:szCs w:val="20"/>
          <w:color w:val="auto"/>
        </w:rPr>
      </w:pPr>
      <w:r>
        <w:rPr>
          <w:rFonts w:ascii="Times New Roman" w:cs="Times New Roman" w:eastAsia="Times New Roman" w:hAnsi="Times New Roman"/>
          <w:sz w:val="17"/>
          <w:szCs w:val="17"/>
          <w:color w:val="auto"/>
        </w:rPr>
        <w:t>The description of our capital stock is incorporated by reference to Exhibit 4.1 of our Annual Report on Form 10-K for the year ended December 31, 2025, filed with the SEC on March 31, 2026.</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6" w:name="page17"/>
    <w:bookmarkEnd w:id="16"/>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8" w:lineRule="exact"/>
        <w:rPr>
          <w:sz w:val="20"/>
          <w:szCs w:val="20"/>
          <w:color w:val="auto"/>
        </w:rPr>
      </w:pPr>
    </w:p>
    <w:p>
      <w:pPr>
        <w:ind w:left="480" w:right="779"/>
        <w:spacing w:after="0" w:line="286" w:lineRule="auto"/>
        <w:rPr>
          <w:sz w:val="20"/>
          <w:szCs w:val="20"/>
          <w:color w:val="auto"/>
        </w:rPr>
      </w:pPr>
      <w:r>
        <w:rPr>
          <w:rFonts w:ascii="Times New Roman" w:cs="Times New Roman" w:eastAsia="Times New Roman" w:hAnsi="Times New Roman"/>
          <w:sz w:val="17"/>
          <w:szCs w:val="17"/>
          <w:color w:val="auto"/>
        </w:rPr>
        <w:t>The validity of the shares of our Class A common stock covered by this prospectus will be passed upon for us by Goodwin Procter LLP, New York, New York.</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8" w:lineRule="exact"/>
        <w:rPr>
          <w:sz w:val="20"/>
          <w:szCs w:val="20"/>
          <w:color w:val="auto"/>
        </w:rPr>
      </w:pPr>
    </w:p>
    <w:p>
      <w:pPr>
        <w:ind w:left="480" w:right="559"/>
        <w:spacing w:after="0" w:line="264" w:lineRule="auto"/>
        <w:rPr>
          <w:sz w:val="20"/>
          <w:szCs w:val="20"/>
          <w:color w:val="auto"/>
        </w:rPr>
      </w:pPr>
      <w:r>
        <w:rPr>
          <w:rFonts w:ascii="Times New Roman" w:cs="Times New Roman" w:eastAsia="Times New Roman" w:hAnsi="Times New Roman"/>
          <w:sz w:val="17"/>
          <w:szCs w:val="17"/>
          <w:color w:val="auto"/>
        </w:rPr>
        <w:t>The consolidated financial statements of AlTi Global, Inc. as of December 31, 2025 and 2024, and for each of the years in the three-year period ended December 31, 2025, have been incorporated by reference herein in reliance upon the report of KPMG LLP, independent registered public accounting firm, appearing elsewhere incorporated by reference herein, and upon the authority of said firm as experts in accounting and auditing.</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8" w:lineRule="exact"/>
        <w:rPr>
          <w:sz w:val="20"/>
          <w:szCs w:val="20"/>
          <w:color w:val="auto"/>
        </w:rPr>
      </w:pPr>
    </w:p>
    <w:p>
      <w:pPr>
        <w:ind w:left="480" w:right="619"/>
        <w:spacing w:after="0" w:line="258"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w:t>
      </w:r>
    </w:p>
    <w:p>
      <w:pPr>
        <w:spacing w:after="0" w:line="74" w:lineRule="exact"/>
        <w:rPr>
          <w:sz w:val="20"/>
          <w:szCs w:val="20"/>
          <w:color w:val="auto"/>
        </w:rPr>
      </w:pPr>
    </w:p>
    <w:p>
      <w:pPr>
        <w:ind w:left="480" w:right="519"/>
        <w:spacing w:after="0" w:line="264"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under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480" w:right="579"/>
        <w:spacing w:after="0" w:line="264" w:lineRule="auto"/>
        <w:rPr>
          <w:sz w:val="20"/>
          <w:szCs w:val="20"/>
          <w:color w:val="auto"/>
        </w:rPr>
      </w:pPr>
      <w:r>
        <w:rPr>
          <w:rFonts w:ascii="Times New Roman" w:cs="Times New Roman" w:eastAsia="Times New Roman" w:hAnsi="Times New Roman"/>
          <w:sz w:val="17"/>
          <w:szCs w:val="17"/>
          <w:color w:val="auto"/>
        </w:rPr>
        <w:t>Our website address is www.alti-global.com. We do not incorporate the information on or accessible through our website into this prospectus, and you should not consider any information on, or that can be accessed through, our website as part of this prospectus. Our website address is included in this prospectus as an inactive textual reference only.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8" w:lineRule="exact"/>
        <w:rPr>
          <w:sz w:val="20"/>
          <w:szCs w:val="20"/>
          <w:color w:val="auto"/>
        </w:rPr>
      </w:pPr>
    </w:p>
    <w:p>
      <w:pPr>
        <w:ind w:left="480" w:right="519"/>
        <w:spacing w:after="0" w:line="255" w:lineRule="auto"/>
        <w:rPr>
          <w:sz w:val="20"/>
          <w:szCs w:val="20"/>
          <w:color w:val="auto"/>
        </w:rPr>
      </w:pPr>
      <w:r>
        <w:rPr>
          <w:rFonts w:ascii="Times New Roman" w:cs="Times New Roman" w:eastAsia="Times New Roman" w:hAnsi="Times New Roman"/>
          <w:sz w:val="17"/>
          <w:szCs w:val="17"/>
          <w:color w:val="auto"/>
        </w:rPr>
        <w:t>This registration statement incorporates by reference important business and financial information about us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this prospectus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w:t>
      </w:r>
    </w:p>
    <w:p>
      <w:pPr>
        <w:spacing w:after="0" w:line="78" w:lineRule="exact"/>
        <w:rPr>
          <w:sz w:val="20"/>
          <w:szCs w:val="20"/>
          <w:color w:val="auto"/>
        </w:rPr>
      </w:pPr>
    </w:p>
    <w:p>
      <w:pPr>
        <w:ind w:left="480" w:right="719"/>
        <w:spacing w:after="0" w:line="286" w:lineRule="auto"/>
        <w:rPr>
          <w:sz w:val="20"/>
          <w:szCs w:val="20"/>
          <w:color w:val="auto"/>
        </w:rPr>
      </w:pPr>
      <w:r>
        <w:rPr>
          <w:rFonts w:ascii="Times New Roman" w:cs="Times New Roman" w:eastAsia="Times New Roman" w:hAnsi="Times New Roman"/>
          <w:sz w:val="17"/>
          <w:szCs w:val="17"/>
          <w:color w:val="auto"/>
        </w:rPr>
        <w:t>We hereby incorporate by reference into this prospectus the following documents that we have filed with the SEC under the Exchange Act:</w:t>
      </w:r>
    </w:p>
    <w:p>
      <w:pPr>
        <w:spacing w:after="0" w:line="49" w:lineRule="exact"/>
        <w:rPr>
          <w:sz w:val="20"/>
          <w:szCs w:val="20"/>
          <w:color w:val="auto"/>
        </w:rPr>
      </w:pPr>
    </w:p>
    <w:p>
      <w:pPr>
        <w:ind w:left="1160" w:right="499" w:hanging="330"/>
        <w:spacing w:after="0" w:line="286"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SEC on March 31, 2026;</w:t>
      </w:r>
    </w:p>
    <w:p>
      <w:pPr>
        <w:spacing w:after="0" w:line="49" w:lineRule="exact"/>
        <w:rPr>
          <w:rFonts w:ascii="Times New Roman" w:cs="Times New Roman" w:eastAsia="Times New Roman" w:hAnsi="Times New Roman"/>
          <w:sz w:val="17"/>
          <w:szCs w:val="17"/>
          <w:color w:val="auto"/>
        </w:rPr>
      </w:pPr>
    </w:p>
    <w:p>
      <w:pPr>
        <w:ind w:left="1160" w:right="519" w:hanging="330"/>
        <w:spacing w:after="0" w:line="286"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Definitive proxy statement on </w:t>
      </w:r>
      <w:hyperlink r:id="rId40">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(other than information furnished rather than filed), filed with the SEC on April 30, 2026, as supplemented on </w:t>
      </w:r>
      <w:hyperlink r:id="rId41">
        <w:r>
          <w:rPr>
            <w:rFonts w:ascii="Times New Roman" w:cs="Times New Roman" w:eastAsia="Times New Roman" w:hAnsi="Times New Roman"/>
            <w:sz w:val="17"/>
            <w:szCs w:val="17"/>
            <w:u w:val="single" w:color="auto"/>
            <w:color w:val="0000EE"/>
          </w:rPr>
          <w:t>May 1,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42">
        <w:r>
          <w:rPr>
            <w:rFonts w:ascii="Times New Roman" w:cs="Times New Roman" w:eastAsia="Times New Roman" w:hAnsi="Times New Roman"/>
            <w:sz w:val="17"/>
            <w:szCs w:val="17"/>
            <w:u w:val="single" w:color="auto"/>
            <w:color w:val="0000EE"/>
          </w:rPr>
          <w:t>May 29, 2026</w:t>
        </w:r>
      </w:hyperlink>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1160" w:right="859" w:hanging="330"/>
        <w:spacing w:after="0" w:line="286" w:lineRule="auto"/>
        <w:tabs>
          <w:tab w:leader="none" w:pos="1160" w:val="left"/>
        </w:tabs>
        <w:numPr>
          <w:ilvl w:val="0"/>
          <w:numId w:val="8"/>
        </w:numPr>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auto"/>
          </w:rPr>
          <w:t xml:space="preserve">Quarterly Report on Form 10-Q for the quarter ended March 31, 2026, filed with the SEC on </w:t>
        </w:r>
        <w:r>
          <w:rPr>
            <w:rFonts w:ascii="Times New Roman" w:cs="Times New Roman" w:eastAsia="Times New Roman" w:hAnsi="Times New Roman"/>
            <w:sz w:val="17"/>
            <w:szCs w:val="17"/>
            <w:u w:val="single" w:color="auto"/>
            <w:color w:val="0000EE"/>
          </w:rPr>
          <w:t>May 11,</w:t>
        </w:r>
      </w:hyperlink>
      <w:r>
        <w:rPr>
          <w:rFonts w:ascii="Times New Roman" w:cs="Times New Roman" w:eastAsia="Times New Roman" w:hAnsi="Times New Roman"/>
          <w:sz w:val="17"/>
          <w:szCs w:val="17"/>
          <w:color w:val="auto"/>
        </w:rPr>
        <w:t xml:space="preserve"> </w:t>
      </w:r>
      <w:hyperlink r:id="rId43">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49" w:lineRule="exact"/>
        <w:rPr>
          <w:rFonts w:ascii="Times New Roman" w:cs="Times New Roman" w:eastAsia="Times New Roman" w:hAnsi="Times New Roman"/>
          <w:sz w:val="17"/>
          <w:szCs w:val="17"/>
          <w:color w:val="0000EE"/>
        </w:rPr>
      </w:pPr>
    </w:p>
    <w:p>
      <w:pPr>
        <w:ind w:left="1160" w:right="919" w:hanging="330"/>
        <w:spacing w:after="0" w:line="286" w:lineRule="auto"/>
        <w:tabs>
          <w:tab w:leader="none" w:pos="1160" w:val="left"/>
        </w:tabs>
        <w:numPr>
          <w:ilvl w:val="0"/>
          <w:numId w:val="8"/>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Commission on </w:t>
      </w:r>
      <w:hyperlink r:id="rId44">
        <w:r>
          <w:rPr>
            <w:rFonts w:ascii="Times New Roman" w:cs="Times New Roman" w:eastAsia="Times New Roman" w:hAnsi="Times New Roman"/>
            <w:sz w:val="17"/>
            <w:szCs w:val="17"/>
            <w:u w:val="single" w:color="auto"/>
            <w:color w:val="0000EE"/>
          </w:rPr>
          <w:t>March 31, 2026</w:t>
        </w:r>
      </w:hyperlink>
      <w:r>
        <w:rPr>
          <w:rFonts w:ascii="Times New Roman" w:cs="Times New Roman" w:eastAsia="Times New Roman" w:hAnsi="Times New Roman"/>
          <w:sz w:val="17"/>
          <w:szCs w:val="17"/>
          <w:color w:val="auto"/>
        </w:rPr>
        <w:t xml:space="preserve">, </w:t>
      </w:r>
      <w:hyperlink r:id="rId45">
        <w:r>
          <w:rPr>
            <w:rFonts w:ascii="Times New Roman" w:cs="Times New Roman" w:eastAsia="Times New Roman" w:hAnsi="Times New Roman"/>
            <w:sz w:val="17"/>
            <w:szCs w:val="17"/>
            <w:u w:val="single" w:color="auto"/>
            <w:color w:val="0000EE"/>
          </w:rPr>
          <w:t>June 18,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46">
        <w:r>
          <w:rPr>
            <w:rFonts w:ascii="Times New Roman" w:cs="Times New Roman" w:eastAsia="Times New Roman" w:hAnsi="Times New Roman"/>
            <w:sz w:val="17"/>
            <w:szCs w:val="17"/>
            <w:u w:val="single" w:color="auto"/>
            <w:color w:val="0000EE"/>
          </w:rPr>
          <w:t>June 25, 2026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 extent filed and not furnished); and</w:t>
      </w:r>
    </w:p>
    <w:p>
      <w:pPr>
        <w:spacing w:after="0" w:line="49" w:lineRule="exact"/>
        <w:rPr>
          <w:rFonts w:ascii="Times New Roman" w:cs="Times New Roman" w:eastAsia="Times New Roman" w:hAnsi="Times New Roman"/>
          <w:sz w:val="17"/>
          <w:szCs w:val="17"/>
          <w:color w:val="0000EE"/>
        </w:rPr>
      </w:pPr>
    </w:p>
    <w:p>
      <w:pPr>
        <w:ind w:left="1160" w:right="599" w:hanging="330"/>
        <w:spacing w:after="0" w:line="269" w:lineRule="auto"/>
        <w:tabs>
          <w:tab w:leader="none" w:pos="1160" w:val="left"/>
        </w:tabs>
        <w:numPr>
          <w:ilvl w:val="0"/>
          <w:numId w:val="8"/>
        </w:numPr>
        <w:rPr>
          <w:rFonts w:ascii="Times New Roman" w:cs="Times New Roman" w:eastAsia="Times New Roman" w:hAnsi="Times New Roman"/>
          <w:sz w:val="17"/>
          <w:szCs w:val="17"/>
          <w:color w:val="0000EE"/>
        </w:rPr>
      </w:pPr>
      <w:hyperlink r:id="rId39">
        <w:r>
          <w:rPr>
            <w:rFonts w:ascii="Times New Roman" w:cs="Times New Roman" w:eastAsia="Times New Roman" w:hAnsi="Times New Roman"/>
            <w:sz w:val="17"/>
            <w:szCs w:val="17"/>
            <w:color w:val="auto"/>
          </w:rPr>
          <w:t xml:space="preserve">The description of our Class A common stock contained as </w:t>
        </w:r>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color w:val="auto"/>
          </w:rPr>
          <w:t xml:space="preserve"> to our Annual Report on </w:t>
        </w:r>
        <w:r>
          <w:rPr>
            <w:rFonts w:ascii="Times New Roman" w:cs="Times New Roman" w:eastAsia="Times New Roman" w:hAnsi="Times New Roman"/>
            <w:sz w:val="17"/>
            <w:szCs w:val="17"/>
            <w:u w:val="single" w:color="auto"/>
            <w:color w:val="0000EE"/>
          </w:rPr>
          <w:t>Form 10-</w:t>
        </w:r>
      </w:hyperlink>
      <w:hyperlink r:id="rId39">
        <w:r>
          <w:rPr>
            <w:rFonts w:ascii="Times New Roman" w:cs="Times New Roman" w:eastAsia="Times New Roman" w:hAnsi="Times New Roman"/>
            <w:sz w:val="17"/>
            <w:szCs w:val="17"/>
            <w:u w:val="single" w:color="auto"/>
            <w:color w:val="0000EE"/>
          </w:rPr>
          <w:t>K</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the year ended December 31, 2025, filed with the SEC on March 31, 2026, including all</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amendments and reports filed for the purpose of updating such description.</w:t>
      </w:r>
    </w:p>
    <w:p>
      <w:pPr>
        <w:spacing w:after="0" w:line="64" w:lineRule="exact"/>
        <w:rPr>
          <w:rFonts w:ascii="Times New Roman" w:cs="Times New Roman" w:eastAsia="Times New Roman" w:hAnsi="Times New Roman"/>
          <w:sz w:val="17"/>
          <w:szCs w:val="17"/>
          <w:color w:val="auto"/>
        </w:rPr>
      </w:pPr>
    </w:p>
    <w:p>
      <w:pPr>
        <w:ind w:left="480" w:right="499"/>
        <w:spacing w:after="0" w:line="258" w:lineRule="auto"/>
        <w:rPr>
          <w:sz w:val="20"/>
          <w:szCs w:val="20"/>
          <w:color w:val="auto"/>
        </w:rPr>
      </w:pPr>
      <w:r>
        <w:rPr>
          <w:rFonts w:ascii="Times New Roman" w:cs="Times New Roman" w:eastAsia="Times New Roman" w:hAnsi="Times New Roman"/>
          <w:sz w:val="17"/>
          <w:szCs w:val="17"/>
          <w:color w:val="auto"/>
        </w:rPr>
        <w:t>All documents that we file pursuant to Sections 13(a), 13(c), 14 and 15(d) of the Exchange Act (other than any such documents or portions thereof that are deemed to have been furnished and not filed in accordance with the rules of the SEC), between the date of this registration statement and the effectiveness of the registration statement and following the effectiveness of the registration statement until the offering of the securities under the registration statement is terminated or completed shall be deemed to be incorporated by reference into this prospectus and will automatically update and supersede the information in this prospectus, the applicable prospectus supplement and any previously filed documents.</w:t>
      </w:r>
    </w:p>
    <w:p>
      <w:pPr>
        <w:spacing w:after="0" w:line="74" w:lineRule="exact"/>
        <w:rPr>
          <w:rFonts w:ascii="Times New Roman" w:cs="Times New Roman" w:eastAsia="Times New Roman" w:hAnsi="Times New Roman"/>
          <w:sz w:val="17"/>
          <w:szCs w:val="17"/>
          <w:color w:val="auto"/>
        </w:rPr>
      </w:pPr>
    </w:p>
    <w:p>
      <w:pPr>
        <w:jc w:val="both"/>
        <w:ind w:left="480" w:right="659"/>
        <w:spacing w:after="0" w:line="264" w:lineRule="auto"/>
        <w:rPr>
          <w:sz w:val="20"/>
          <w:szCs w:val="20"/>
          <w:color w:val="auto"/>
        </w:rPr>
      </w:pPr>
      <w:r>
        <w:rPr>
          <w:rFonts w:ascii="Times New Roman" w:cs="Times New Roman" w:eastAsia="Times New Roman" w:hAnsi="Times New Roman"/>
          <w:sz w:val="17"/>
          <w:szCs w:val="17"/>
          <w:color w:val="auto"/>
        </w:rPr>
        <w:t>We will furnish without charge to each person, including any beneficial owner, to whom a prospectus is delivered, upon written or oral request, a copy of any or all of the documents incorporated by reference, including exhibits to these documents. You can access the reports and documents incorporated by reference into this prospectus through our website www.alti-global.com. You may also direct any requests for reports or documents to:</w:t>
      </w:r>
    </w:p>
    <w:p>
      <w:pPr>
        <w:spacing w:after="0" w:line="119" w:lineRule="exact"/>
        <w:rPr>
          <w:rFonts w:ascii="Times New Roman" w:cs="Times New Roman" w:eastAsia="Times New Roman" w:hAnsi="Times New Roman"/>
          <w:sz w:val="17"/>
          <w:szCs w:val="17"/>
          <w:color w:val="auto"/>
        </w:rPr>
      </w:pPr>
    </w:p>
    <w:p>
      <w:pPr>
        <w:ind w:left="3920"/>
        <w:spacing w:after="0"/>
        <w:rPr>
          <w:sz w:val="20"/>
          <w:szCs w:val="20"/>
          <w:color w:val="auto"/>
        </w:rPr>
      </w:pPr>
      <w:r>
        <w:rPr>
          <w:rFonts w:ascii="Times New Roman" w:cs="Times New Roman" w:eastAsia="Times New Roman" w:hAnsi="Times New Roman"/>
          <w:sz w:val="17"/>
          <w:szCs w:val="17"/>
          <w:color w:val="auto"/>
        </w:rPr>
        <w:t>AlTi Global, Inc.</w:t>
      </w:r>
    </w:p>
    <w:p>
      <w:pPr>
        <w:spacing w:after="0" w:line="27" w:lineRule="exact"/>
        <w:rPr>
          <w:rFonts w:ascii="Times New Roman" w:cs="Times New Roman" w:eastAsia="Times New Roman" w:hAnsi="Times New Roman"/>
          <w:sz w:val="17"/>
          <w:szCs w:val="17"/>
          <w:color w:val="auto"/>
        </w:rPr>
      </w:pPr>
    </w:p>
    <w:p>
      <w:pPr>
        <w:ind w:left="3340"/>
        <w:spacing w:after="0"/>
        <w:rPr>
          <w:sz w:val="20"/>
          <w:szCs w:val="20"/>
          <w:color w:val="auto"/>
        </w:rPr>
      </w:pPr>
      <w:r>
        <w:rPr>
          <w:rFonts w:ascii="Times New Roman" w:cs="Times New Roman" w:eastAsia="Times New Roman" w:hAnsi="Times New Roman"/>
          <w:sz w:val="17"/>
          <w:szCs w:val="17"/>
          <w:color w:val="auto"/>
        </w:rPr>
        <w:t>22 Vanderbilt Avenue, 27th Floor</w:t>
      </w:r>
    </w:p>
    <w:p>
      <w:pPr>
        <w:spacing w:after="0" w:line="11" w:lineRule="exact"/>
        <w:rPr>
          <w:rFonts w:ascii="Times New Roman" w:cs="Times New Roman" w:eastAsia="Times New Roman" w:hAnsi="Times New Roman"/>
          <w:sz w:val="17"/>
          <w:szCs w:val="17"/>
          <w:color w:val="auto"/>
        </w:rPr>
      </w:pPr>
    </w:p>
    <w:p>
      <w:pPr>
        <w:ind w:left="352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1" w:lineRule="exact"/>
        <w:rPr>
          <w:rFonts w:ascii="Times New Roman" w:cs="Times New Roman" w:eastAsia="Times New Roman" w:hAnsi="Times New Roman"/>
          <w:sz w:val="17"/>
          <w:szCs w:val="17"/>
          <w:color w:val="auto"/>
        </w:rPr>
      </w:pPr>
    </w:p>
    <w:p>
      <w:pPr>
        <w:ind w:left="2840"/>
        <w:spacing w:after="0"/>
        <w:rPr>
          <w:sz w:val="20"/>
          <w:szCs w:val="20"/>
          <w:color w:val="auto"/>
        </w:rPr>
      </w:pPr>
      <w:r>
        <w:rPr>
          <w:rFonts w:ascii="Times New Roman" w:cs="Times New Roman" w:eastAsia="Times New Roman" w:hAnsi="Times New Roman"/>
          <w:sz w:val="17"/>
          <w:szCs w:val="17"/>
          <w:color w:val="auto"/>
        </w:rPr>
        <w:t>Attention: Colleen Graham, Corporate Secretary</w:t>
      </w:r>
    </w:p>
    <w:p>
      <w:pPr>
        <w:spacing w:after="0" w:line="20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93345</wp:posOffset>
            </wp:positionV>
            <wp:extent cx="497141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971415" cy="16510"/>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158750</wp:posOffset>
            </wp:positionV>
            <wp:extent cx="4971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971415"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1287145</wp:posOffset>
            </wp:positionV>
            <wp:extent cx="2224405" cy="514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22440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Up to 3,053,263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2197100</wp:posOffset>
            </wp:positionV>
            <wp:extent cx="1046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160655</wp:posOffset>
            </wp:positionV>
            <wp:extent cx="1046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146685</wp:posOffset>
            </wp:positionV>
            <wp:extent cx="4971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971415" cy="825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203835</wp:posOffset>
            </wp:positionV>
            <wp:extent cx="497141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4971415" cy="16510"/>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334645</wp:posOffset>
            </wp:positionV>
            <wp:extent cx="667258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6"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118" w:lineRule="exact"/>
        <w:rPr>
          <w:sz w:val="20"/>
          <w:szCs w:val="20"/>
          <w:color w:val="auto"/>
        </w:rPr>
      </w:pPr>
    </w:p>
    <w:p>
      <w:pPr>
        <w:ind w:left="480" w:right="519"/>
        <w:spacing w:after="0" w:line="261" w:lineRule="auto"/>
        <w:rPr>
          <w:sz w:val="20"/>
          <w:szCs w:val="20"/>
          <w:color w:val="auto"/>
        </w:rPr>
      </w:pPr>
      <w:r>
        <w:rPr>
          <w:rFonts w:ascii="Times New Roman" w:cs="Times New Roman" w:eastAsia="Times New Roman" w:hAnsi="Times New Roman"/>
          <w:sz w:val="17"/>
          <w:szCs w:val="17"/>
          <w:color w:val="auto"/>
        </w:rPr>
        <w:t>The following table sets forth the fees and expenses, other than underwriting discounts and commissions, payable by us in connection with the sale and distribution of the securities being registered hereby. In addition, we may incur additional expenses in the future in connection with the offering of our securities pursuant to this prospectus. If required, any such additional expenses will be disclosed in a prospectus supplement. All amounts are estimates, except for the SEC registration fee.</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$1,336.65</w:t>
            </w:r>
          </w:p>
        </w:tc>
        <w:tc>
          <w:tcPr>
            <w:tcW w:w="8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Printing fees and expenses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 and transfer agent fees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 fees and expenses</w:t>
            </w: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5"/>
        </w:trPr>
        <w:tc>
          <w:tcPr>
            <w:tcW w:w="20" w:type="dxa"/>
            <w:vAlign w:val="bottom"/>
          </w:tcPr>
          <w:p>
            <w:pPr>
              <w:spacing w:after="0"/>
              <w:rPr>
                <w:sz w:val="23"/>
                <w:szCs w:val="23"/>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1,336.65</w:t>
            </w:r>
          </w:p>
        </w:tc>
        <w:tc>
          <w:tcPr>
            <w:tcW w:w="8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139065</wp:posOffset>
            </wp:positionV>
            <wp:extent cx="78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43" w:lineRule="exact"/>
        <w:rPr>
          <w:sz w:val="20"/>
          <w:szCs w:val="20"/>
          <w:color w:val="auto"/>
        </w:rPr>
      </w:pPr>
    </w:p>
    <w:p>
      <w:pPr>
        <w:ind w:left="820" w:hanging="334"/>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amount of securities offered and accordingly cannot be estimated at this time.</w:t>
      </w:r>
    </w:p>
    <w:p>
      <w:pPr>
        <w:spacing w:after="0" w:line="88" w:lineRule="exact"/>
        <w:rPr>
          <w:sz w:val="20"/>
          <w:szCs w:val="20"/>
          <w:color w:val="auto"/>
        </w:rPr>
      </w:pPr>
    </w:p>
    <w:p>
      <w:pPr>
        <w:ind w:left="480" w:right="579"/>
        <w:spacing w:after="0" w:line="264" w:lineRule="auto"/>
        <w:rPr>
          <w:sz w:val="20"/>
          <w:szCs w:val="20"/>
          <w:color w:val="auto"/>
        </w:rPr>
      </w:pPr>
      <w:r>
        <w:rPr>
          <w:rFonts w:ascii="Times New Roman" w:cs="Times New Roman" w:eastAsia="Times New Roman" w:hAnsi="Times New Roman"/>
          <w:sz w:val="17"/>
          <w:szCs w:val="17"/>
          <w:color w:val="auto"/>
        </w:rPr>
        <w:t>We will pay the expenses, other than underwriting discounts and commissions and certain expenses incurred by the Selling Securityholders in disposing of the securities, associated with the sale of securities pursuant to this prospectus. The Selling Securityholders will bear all underwriting commissions and discounts, if any, attributable to their sale of the securities.</w:t>
      </w:r>
    </w:p>
    <w:p>
      <w:pPr>
        <w:spacing w:after="0" w:line="166"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15.</w:t>
        <w:tab/>
        <w:t>Indemnification of Directors and Officers.</w:t>
      </w:r>
    </w:p>
    <w:p>
      <w:pPr>
        <w:spacing w:after="0" w:line="118" w:lineRule="exact"/>
        <w:rPr>
          <w:sz w:val="20"/>
          <w:szCs w:val="20"/>
          <w:color w:val="auto"/>
        </w:rPr>
      </w:pPr>
    </w:p>
    <w:p>
      <w:pPr>
        <w:ind w:left="480" w:right="519"/>
        <w:spacing w:after="0" w:line="256" w:lineRule="auto"/>
        <w:rPr>
          <w:sz w:val="20"/>
          <w:szCs w:val="20"/>
          <w:color w:val="auto"/>
        </w:rPr>
      </w:pPr>
      <w:r>
        <w:rPr>
          <w:rFonts w:ascii="Times New Roman" w:cs="Times New Roman" w:eastAsia="Times New Roman" w:hAnsi="Times New Roman"/>
          <w:sz w:val="17"/>
          <w:szCs w:val="17"/>
          <w:color w:val="auto"/>
        </w:rPr>
        <w:t>Subsection (a) of Section 145 of the Delaware General Corporation Law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78" w:lineRule="exact"/>
        <w:rPr>
          <w:sz w:val="20"/>
          <w:szCs w:val="20"/>
          <w:color w:val="auto"/>
        </w:rPr>
      </w:pPr>
    </w:p>
    <w:p>
      <w:pPr>
        <w:ind w:left="480" w:right="579"/>
        <w:spacing w:after="0" w:line="256"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6" w:lineRule="exact"/>
        <w:rPr>
          <w:sz w:val="20"/>
          <w:szCs w:val="20"/>
          <w:color w:val="auto"/>
        </w:rPr>
      </w:pPr>
    </w:p>
    <w:p>
      <w:pPr>
        <w:ind w:left="480" w:right="539"/>
        <w:spacing w:after="0" w:line="264" w:lineRule="auto"/>
        <w:rPr>
          <w:sz w:val="20"/>
          <w:szCs w:val="20"/>
          <w:color w:val="auto"/>
        </w:rPr>
      </w:pPr>
      <w:r>
        <w:rPr>
          <w:rFonts w:ascii="Times New Roman" w:cs="Times New Roman" w:eastAsia="Times New Roman" w:hAnsi="Times New Roman"/>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0" w:name="page21"/>
    <w:bookmarkEnd w:id="20"/>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80" w:right="519"/>
        <w:spacing w:after="0" w:line="257" w:lineRule="auto"/>
        <w:rPr>
          <w:sz w:val="20"/>
          <w:szCs w:val="20"/>
          <w:color w:val="auto"/>
        </w:rPr>
      </w:pPr>
      <w:r>
        <w:rPr>
          <w:rFonts w:ascii="Times New Roman" w:cs="Times New Roman" w:eastAsia="Times New Roman" w:hAnsi="Times New Roman"/>
          <w:sz w:val="17"/>
          <w:szCs w:val="17"/>
          <w:color w:val="auto"/>
        </w:rPr>
        <w:t>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73" w:lineRule="exact"/>
        <w:rPr>
          <w:sz w:val="20"/>
          <w:szCs w:val="20"/>
          <w:color w:val="auto"/>
        </w:rPr>
      </w:pPr>
    </w:p>
    <w:p>
      <w:pPr>
        <w:ind w:left="480" w:right="499"/>
        <w:spacing w:after="0" w:line="257"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Our certificate of incorporation provides for indemnification of our directors, officers, employees and other agents to the maximum extent permitted by the DGCL, and our bylaws provide for indemnification of our directors, officers, employees and other agents to the maximum extent permitted by the DGCL.</w:t>
      </w:r>
    </w:p>
    <w:p>
      <w:pPr>
        <w:spacing w:after="0" w:line="73" w:lineRule="exact"/>
        <w:rPr>
          <w:sz w:val="20"/>
          <w:szCs w:val="20"/>
          <w:color w:val="auto"/>
        </w:rPr>
      </w:pPr>
    </w:p>
    <w:p>
      <w:pPr>
        <w:ind w:left="480" w:right="699"/>
        <w:spacing w:after="0" w:line="261" w:lineRule="auto"/>
        <w:rPr>
          <w:sz w:val="20"/>
          <w:szCs w:val="20"/>
          <w:color w:val="auto"/>
        </w:rPr>
      </w:pPr>
      <w:r>
        <w:rPr>
          <w:rFonts w:ascii="Times New Roman" w:cs="Times New Roman" w:eastAsia="Times New Roman" w:hAnsi="Times New Roman"/>
          <w:sz w:val="17"/>
          <w:szCs w:val="17"/>
          <w:color w:val="auto"/>
        </w:rPr>
        <w:t>In addition, we entered into indemnification agreements with each of our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intend to enter into indemnification agreements with our future directors.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100" w:type="dxa"/>
            <w:vAlign w:val="bottom"/>
            <w:vMerge w:val="restart"/>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7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 w:type="dxa"/>
            <w:vAlign w:val="bottom"/>
            <w:gridSpan w:val="2"/>
          </w:tcPr>
          <w:p>
            <w:pPr>
              <w:spacing w:after="0" w:line="181" w:lineRule="exact"/>
              <w:rPr>
                <w:rFonts w:ascii="Times New Roman" w:cs="Times New Roman" w:eastAsia="Times New Roman" w:hAnsi="Times New Roman"/>
                <w:sz w:val="17"/>
                <w:szCs w:val="17"/>
                <w:color w:val="0000EE"/>
              </w:rPr>
            </w:pPr>
            <w:hyperlink r:id="rId59">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auto"/>
              </w:rPr>
              <w:t>Certificate of Incorporation of the Company (incorporated by reference to Exhibit 3.1 to the</w:t>
            </w:r>
          </w:p>
        </w:tc>
        <w:tc>
          <w:tcPr>
            <w:tcW w:w="0" w:type="dxa"/>
            <w:vAlign w:val="bottom"/>
          </w:tcPr>
          <w:p>
            <w:pPr>
              <w:spacing w:after="0"/>
              <w:rPr>
                <w:sz w:val="1"/>
                <w:szCs w:val="1"/>
                <w:color w:val="auto"/>
              </w:rPr>
            </w:pPr>
          </w:p>
        </w:tc>
      </w:tr>
      <w:tr>
        <w:trPr>
          <w:trHeight w:val="225"/>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Company’s Current Report on Form 8-K filed January 9, 2023).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 w:type="dxa"/>
            <w:vAlign w:val="bottom"/>
            <w:gridSpan w:val="2"/>
            <w:shd w:val="clear" w:color="auto" w:fill="CCEEFF"/>
          </w:tcPr>
          <w:p>
            <w:pPr>
              <w:spacing w:after="0" w:line="193"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Certificate of Amendment to the Certificate of Incorporation of the Company (incorporated by</w:t>
            </w:r>
          </w:p>
        </w:tc>
        <w:tc>
          <w:tcPr>
            <w:tcW w:w="0" w:type="dxa"/>
            <w:vAlign w:val="bottom"/>
          </w:tcPr>
          <w:p>
            <w:pPr>
              <w:spacing w:after="0"/>
              <w:rPr>
                <w:sz w:val="1"/>
                <w:szCs w:val="1"/>
                <w:color w:val="auto"/>
              </w:rPr>
            </w:pPr>
          </w:p>
        </w:tc>
      </w:tr>
      <w:tr>
        <w:trPr>
          <w:trHeight w:val="238"/>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72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reference to Exhibit 3.1 to the Company’s Current Report on Form 8-K filed July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 w:type="dxa"/>
            <w:vAlign w:val="bottom"/>
            <w:gridSpan w:val="2"/>
          </w:tcPr>
          <w:p>
            <w:pPr>
              <w:spacing w:after="0" w:line="181" w:lineRule="exact"/>
              <w:rPr>
                <w:rFonts w:ascii="Times New Roman" w:cs="Times New Roman" w:eastAsia="Times New Roman" w:hAnsi="Times New Roman"/>
                <w:sz w:val="17"/>
                <w:szCs w:val="17"/>
                <w:color w:val="0000EE"/>
              </w:rPr>
            </w:pPr>
            <w:hyperlink r:id="rId6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auto"/>
              </w:rPr>
              <w:t>Amended and Restated Bylaws of the Company (incorporated by reference to Exhibit 3.3 to the</w:t>
            </w:r>
          </w:p>
        </w:tc>
        <w:tc>
          <w:tcPr>
            <w:tcW w:w="0" w:type="dxa"/>
            <w:vAlign w:val="bottom"/>
          </w:tcPr>
          <w:p>
            <w:pPr>
              <w:spacing w:after="0"/>
              <w:rPr>
                <w:sz w:val="1"/>
                <w:szCs w:val="1"/>
                <w:color w:val="auto"/>
              </w:rPr>
            </w:pPr>
          </w:p>
        </w:tc>
      </w:tr>
      <w:tr>
        <w:trPr>
          <w:trHeight w:val="225"/>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Company’s Annual Report on Form 10-K/A filed April 5, 2024).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 w:type="dxa"/>
            <w:vAlign w:val="bottom"/>
            <w:gridSpan w:val="2"/>
            <w:shd w:val="clear" w:color="auto" w:fill="CCEEFF"/>
          </w:tcPr>
          <w:p>
            <w:pPr>
              <w:spacing w:after="0" w:line="193" w:lineRule="exact"/>
              <w:rPr>
                <w:rFonts w:ascii="Times New Roman" w:cs="Times New Roman" w:eastAsia="Times New Roman" w:hAnsi="Times New Roman"/>
                <w:sz w:val="17"/>
                <w:szCs w:val="17"/>
                <w:color w:val="0000EE"/>
              </w:rPr>
            </w:pPr>
            <w:hyperlink r:id="rId62">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Description of Registrant’s Securities (incorporated by reference to Exhibit 4.1 to the Company’s</w:t>
            </w:r>
          </w:p>
        </w:tc>
        <w:tc>
          <w:tcPr>
            <w:tcW w:w="0" w:type="dxa"/>
            <w:vAlign w:val="bottom"/>
          </w:tcPr>
          <w:p>
            <w:pPr>
              <w:spacing w:after="0"/>
              <w:rPr>
                <w:sz w:val="1"/>
                <w:szCs w:val="1"/>
                <w:color w:val="auto"/>
              </w:rPr>
            </w:pPr>
          </w:p>
        </w:tc>
      </w:tr>
      <w:tr>
        <w:trPr>
          <w:trHeight w:val="238"/>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72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Annual Report on Form 10-K filed on March 31, 2026).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auto"/>
              </w:rPr>
              <w:t>Opinion of Goodwin Procter LLP.</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0000EE"/>
            </w:tcBorders>
            <w:vMerge w:val="continue"/>
          </w:tcPr>
          <w:p>
            <w:pPr>
              <w:spacing w:after="0"/>
              <w:rPr>
                <w:sz w:val="18"/>
                <w:szCs w:val="18"/>
                <w:color w:val="auto"/>
              </w:rPr>
            </w:pPr>
          </w:p>
        </w:tc>
        <w:tc>
          <w:tcPr>
            <w:tcW w:w="380" w:type="dxa"/>
            <w:vAlign w:val="bottom"/>
            <w:tcBorders>
              <w:bottom w:val="single" w:sz="8" w:color="0000EE"/>
            </w:tcBorders>
            <w:gridSpan w:val="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44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Consent of KPMG LLP, independent registered public accounting firm.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7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auto"/>
              </w:rPr>
              <w:t>Consent of Goodwin Procter LLP (included as part of Exhibit 5.1).</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r>
              <w:rPr>
                <w:rFonts w:ascii="Times New Roman" w:cs="Times New Roman" w:eastAsia="Times New Roman" w:hAnsi="Times New Roman"/>
                <w:sz w:val="17"/>
                <w:szCs w:val="17"/>
                <w:color w:val="000000"/>
                <w:w w:val="93"/>
              </w:rPr>
              <w:t>*</w:t>
            </w:r>
          </w:p>
        </w:tc>
        <w:tc>
          <w:tcPr>
            <w:tcW w:w="440" w:type="dxa"/>
            <w:vAlign w:val="bottom"/>
            <w:shd w:val="clear" w:color="auto" w:fill="CCEEFF"/>
          </w:tcPr>
          <w:p>
            <w:pPr>
              <w:spacing w:after="0"/>
              <w:rPr>
                <w:sz w:val="15"/>
                <w:szCs w:val="15"/>
                <w:color w:val="auto"/>
              </w:rPr>
            </w:pPr>
          </w:p>
        </w:tc>
        <w:tc>
          <w:tcPr>
            <w:tcW w:w="72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Power of Attorney (included on signature page).</w:t>
            </w:r>
          </w:p>
        </w:tc>
        <w:tc>
          <w:tcPr>
            <w:tcW w:w="0" w:type="dxa"/>
            <w:vAlign w:val="bottom"/>
          </w:tcPr>
          <w:p>
            <w:pPr>
              <w:spacing w:after="0"/>
              <w:rPr>
                <w:sz w:val="1"/>
                <w:szCs w:val="1"/>
                <w:color w:val="auto"/>
              </w:rPr>
            </w:pPr>
          </w:p>
        </w:tc>
      </w:tr>
      <w:tr>
        <w:trPr>
          <w:trHeight w:val="32"/>
        </w:trPr>
        <w:tc>
          <w:tcPr>
            <w:tcW w:w="20" w:type="dxa"/>
            <w:vAlign w:val="bottom"/>
            <w:tcBorders>
              <w:top w:val="single" w:sz="8" w:color="0000EE"/>
            </w:tcBorders>
            <w:vMerge w:val="restart"/>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Borders>
              <w:bottom w:val="single" w:sz="8" w:color="0000EE"/>
            </w:tcBorders>
            <w:vMerge w:val="continue"/>
          </w:tcPr>
          <w:p>
            <w:pPr>
              <w:spacing w:after="0"/>
              <w:rPr>
                <w:sz w:val="15"/>
                <w:szCs w:val="15"/>
                <w:color w:val="auto"/>
              </w:rPr>
            </w:pPr>
          </w:p>
        </w:tc>
        <w:tc>
          <w:tcPr>
            <w:tcW w:w="32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88"/>
              </w:rPr>
              <w:t>107*</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196215</wp:posOffset>
            </wp:positionV>
            <wp:extent cx="78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333" w:lineRule="exact"/>
        <w:rPr>
          <w:sz w:val="20"/>
          <w:szCs w:val="20"/>
          <w:color w:val="auto"/>
        </w:rPr>
      </w:pPr>
    </w:p>
    <w:p>
      <w:pPr>
        <w:ind w:left="820" w:hanging="334"/>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2" w:lineRule="exact"/>
        <w:rPr>
          <w:sz w:val="20"/>
          <w:szCs w:val="20"/>
          <w:color w:val="auto"/>
        </w:rPr>
      </w:pPr>
    </w:p>
    <w:p>
      <w:pPr>
        <w:ind w:left="820" w:right="779" w:hanging="334"/>
        <w:spacing w:after="0" w:line="238" w:lineRule="auto"/>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70"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118" w:lineRule="exact"/>
        <w:rPr>
          <w:sz w:val="20"/>
          <w:szCs w:val="20"/>
          <w:color w:val="auto"/>
        </w:rPr>
      </w:pPr>
    </w:p>
    <w:p>
      <w:pPr>
        <w:ind w:left="820" w:hanging="334"/>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3" w:lineRule="exact"/>
        <w:rPr>
          <w:rFonts w:ascii="Times New Roman" w:cs="Times New Roman" w:eastAsia="Times New Roman" w:hAnsi="Times New Roman"/>
          <w:sz w:val="17"/>
          <w:szCs w:val="17"/>
          <w:color w:val="auto"/>
        </w:rPr>
      </w:pPr>
    </w:p>
    <w:p>
      <w:pPr>
        <w:ind w:left="1160" w:right="919" w:hanging="330"/>
        <w:spacing w:after="0" w:line="286" w:lineRule="auto"/>
        <w:tabs>
          <w:tab w:leader="none" w:pos="11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49" w:lineRule="exact"/>
        <w:rPr>
          <w:rFonts w:ascii="Times New Roman" w:cs="Times New Roman" w:eastAsia="Times New Roman" w:hAnsi="Times New Roman"/>
          <w:sz w:val="17"/>
          <w:szCs w:val="17"/>
          <w:color w:val="auto"/>
        </w:rPr>
      </w:pPr>
    </w:p>
    <w:p>
      <w:pPr>
        <w:ind w:left="1500" w:hanging="327"/>
        <w:spacing w:after="0"/>
        <w:tabs>
          <w:tab w:leader="none" w:pos="15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13" w:lineRule="exact"/>
        <w:rPr>
          <w:rFonts w:ascii="Times New Roman" w:cs="Times New Roman" w:eastAsia="Times New Roman" w:hAnsi="Times New Roman"/>
          <w:sz w:val="17"/>
          <w:szCs w:val="17"/>
          <w:color w:val="auto"/>
        </w:rPr>
      </w:pPr>
    </w:p>
    <w:p>
      <w:pPr>
        <w:ind w:left="1500" w:right="699" w:hanging="327"/>
        <w:spacing w:after="0" w:line="269" w:lineRule="auto"/>
        <w:tabs>
          <w:tab w:leader="none" w:pos="15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64" w:lineRule="exact"/>
        <w:rPr>
          <w:sz w:val="20"/>
          <w:szCs w:val="20"/>
          <w:color w:val="auto"/>
        </w:rPr>
      </w:pPr>
    </w:p>
    <w:p>
      <w:pPr>
        <w:ind w:left="480" w:right="679"/>
        <w:spacing w:after="0" w:line="259" w:lineRule="auto"/>
        <w:rPr>
          <w:sz w:val="20"/>
          <w:szCs w:val="20"/>
          <w:color w:val="auto"/>
        </w:rPr>
      </w:pPr>
      <w:r>
        <w:rPr>
          <w:rFonts w:ascii="Times New Roman" w:cs="Times New Roman" w:eastAsia="Times New Roman" w:hAnsi="Times New Roman"/>
          <w:sz w:val="17"/>
          <w:szCs w:val="17"/>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73" w:lineRule="exact"/>
        <w:rPr>
          <w:sz w:val="20"/>
          <w:szCs w:val="20"/>
          <w:color w:val="auto"/>
        </w:rPr>
      </w:pPr>
    </w:p>
    <w:p>
      <w:pPr>
        <w:ind w:left="1500" w:right="559" w:hanging="327"/>
        <w:spacing w:after="0" w:line="258" w:lineRule="auto"/>
        <w:tabs>
          <w:tab w:leader="none" w:pos="15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(ii), and (iii) of this section do not apply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w:t>
      </w:r>
    </w:p>
    <w:p>
      <w:pPr>
        <w:spacing w:after="0" w:line="74" w:lineRule="exact"/>
        <w:rPr>
          <w:rFonts w:ascii="Times New Roman" w:cs="Times New Roman" w:eastAsia="Times New Roman" w:hAnsi="Times New Roman"/>
          <w:sz w:val="17"/>
          <w:szCs w:val="17"/>
          <w:color w:val="auto"/>
        </w:rPr>
      </w:pPr>
    </w:p>
    <w:p>
      <w:pPr>
        <w:ind w:left="1160" w:right="639" w:hanging="330"/>
        <w:spacing w:after="0" w:line="269" w:lineRule="auto"/>
        <w:tabs>
          <w:tab w:leader="none" w:pos="11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Times New Roman" w:cs="Times New Roman" w:eastAsia="Times New Roman" w:hAnsi="Times New Roman"/>
          <w:sz w:val="17"/>
          <w:szCs w:val="17"/>
          <w:color w:val="auto"/>
        </w:rPr>
      </w:pPr>
    </w:p>
    <w:p>
      <w:pPr>
        <w:ind w:left="1160" w:right="519" w:hanging="330"/>
        <w:spacing w:after="0" w:line="286" w:lineRule="auto"/>
        <w:tabs>
          <w:tab w:leader="none" w:pos="11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123190</wp:posOffset>
            </wp:positionV>
            <wp:extent cx="667258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160" w:hanging="330"/>
        <w:spacing w:after="0"/>
        <w:tabs>
          <w:tab w:leader="none" w:pos="11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13" w:lineRule="exact"/>
        <w:rPr>
          <w:rFonts w:ascii="Times New Roman" w:cs="Times New Roman" w:eastAsia="Times New Roman" w:hAnsi="Times New Roman"/>
          <w:sz w:val="17"/>
          <w:szCs w:val="17"/>
          <w:color w:val="auto"/>
        </w:rPr>
      </w:pPr>
    </w:p>
    <w:p>
      <w:pPr>
        <w:ind w:left="1500" w:right="719" w:hanging="327"/>
        <w:spacing w:after="0" w:line="269"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3" w:lineRule="exact"/>
        <w:rPr>
          <w:rFonts w:ascii="Times New Roman" w:cs="Times New Roman" w:eastAsia="Times New Roman" w:hAnsi="Times New Roman"/>
          <w:sz w:val="17"/>
          <w:szCs w:val="17"/>
          <w:color w:val="auto"/>
        </w:rPr>
      </w:pPr>
    </w:p>
    <w:p>
      <w:pPr>
        <w:ind w:left="1500" w:right="639" w:hanging="327"/>
        <w:spacing w:after="0" w:line="263"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500" w:right="53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Times New Roman" w:cs="Times New Roman" w:eastAsia="Times New Roman" w:hAnsi="Times New Roman"/>
          <w:sz w:val="17"/>
          <w:szCs w:val="17"/>
          <w:color w:val="auto"/>
        </w:rPr>
      </w:pPr>
    </w:p>
    <w:p>
      <w:pPr>
        <w:ind w:left="1160" w:right="539" w:hanging="330"/>
        <w:spacing w:after="0" w:line="259" w:lineRule="auto"/>
        <w:tabs>
          <w:tab w:leader="none" w:pos="11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3" w:lineRule="exact"/>
        <w:rPr>
          <w:rFonts w:ascii="Times New Roman" w:cs="Times New Roman" w:eastAsia="Times New Roman" w:hAnsi="Times New Roman"/>
          <w:sz w:val="17"/>
          <w:szCs w:val="17"/>
          <w:color w:val="auto"/>
        </w:rPr>
      </w:pPr>
    </w:p>
    <w:p>
      <w:pPr>
        <w:ind w:left="1500" w:right="1039" w:hanging="327"/>
        <w:spacing w:after="0" w:line="286"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7"/>
          <w:szCs w:val="17"/>
          <w:color w:val="auto"/>
        </w:rPr>
      </w:pPr>
    </w:p>
    <w:p>
      <w:pPr>
        <w:ind w:left="1500" w:right="959" w:hanging="327"/>
        <w:spacing w:after="0" w:line="286"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7"/>
          <w:szCs w:val="17"/>
          <w:color w:val="auto"/>
        </w:rPr>
      </w:pPr>
    </w:p>
    <w:p>
      <w:pPr>
        <w:jc w:val="both"/>
        <w:ind w:left="1500" w:right="1199" w:hanging="327"/>
        <w:spacing w:after="0" w:line="269"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3" w:lineRule="exact"/>
        <w:rPr>
          <w:rFonts w:ascii="Times New Roman" w:cs="Times New Roman" w:eastAsia="Times New Roman" w:hAnsi="Times New Roman"/>
          <w:sz w:val="17"/>
          <w:szCs w:val="17"/>
          <w:color w:val="auto"/>
        </w:rPr>
      </w:pPr>
    </w:p>
    <w:p>
      <w:pPr>
        <w:ind w:left="1500" w:right="759" w:hanging="327"/>
        <w:spacing w:after="0" w:line="286" w:lineRule="auto"/>
        <w:tabs>
          <w:tab w:leader="none" w:pos="15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49" w:lineRule="exact"/>
        <w:rPr>
          <w:rFonts w:ascii="Times New Roman" w:cs="Times New Roman" w:eastAsia="Times New Roman" w:hAnsi="Times New Roman"/>
          <w:sz w:val="17"/>
          <w:szCs w:val="17"/>
          <w:color w:val="auto"/>
        </w:rPr>
      </w:pPr>
    </w:p>
    <w:p>
      <w:pPr>
        <w:ind w:left="820" w:right="839" w:hanging="334"/>
        <w:spacing w:after="0" w:line="259"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Times New Roman" w:cs="Times New Roman" w:eastAsia="Times New Roman" w:hAnsi="Times New Roman"/>
          <w:sz w:val="17"/>
          <w:szCs w:val="17"/>
          <w:color w:val="auto"/>
        </w:rPr>
      </w:pPr>
    </w:p>
    <w:p>
      <w:pPr>
        <w:ind w:left="820" w:right="539" w:hanging="334"/>
        <w:spacing w:after="0" w:line="256"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131445</wp:posOffset>
            </wp:positionV>
            <wp:extent cx="667258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672580" cy="1651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left="480" w:right="739"/>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New York, New York, on June 30, 2026.</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ALTI GLOBAL, INC.</w:t>
      </w:r>
    </w:p>
    <w:p>
      <w:pPr>
        <w:spacing w:after="0" w:line="272"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/s/ Nancy Curtin</w:t>
            </w:r>
          </w:p>
        </w:tc>
      </w:tr>
      <w:tr>
        <w:trPr>
          <w:trHeight w:val="25"/>
        </w:trPr>
        <w:tc>
          <w:tcPr>
            <w:tcW w:w="66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Nancy Curtin</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w:t>
            </w:r>
          </w:p>
        </w:tc>
      </w:tr>
    </w:tbl>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8" w:lineRule="exact"/>
        <w:rPr>
          <w:sz w:val="20"/>
          <w:szCs w:val="20"/>
          <w:color w:val="auto"/>
        </w:rPr>
      </w:pPr>
    </w:p>
    <w:p>
      <w:pPr>
        <w:ind w:left="480" w:right="539"/>
        <w:spacing w:after="0" w:line="256"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Nancy Curtin and Colleen Graham, acting alone or together with another attorney-in-fact, as such person’s true and lawful attorney-in-fact and agent, with full power of substitution and resubstitution, for such person and in such person’s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may lawfully do or cause to be done by virtue hereof.</w:t>
      </w:r>
    </w:p>
    <w:p>
      <w:pPr>
        <w:spacing w:after="0" w:line="78" w:lineRule="exact"/>
        <w:rPr>
          <w:sz w:val="20"/>
          <w:szCs w:val="20"/>
          <w:color w:val="auto"/>
        </w:rPr>
      </w:pPr>
    </w:p>
    <w:p>
      <w:pPr>
        <w:ind w:left="480" w:right="85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 indicated.</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spacing w:after="0"/>
              <w:rPr>
                <w:sz w:val="16"/>
                <w:szCs w:val="16"/>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4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Nancy Curtin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Interim Chief Executive Officer and 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42"/>
        </w:trPr>
        <w:tc>
          <w:tcPr>
            <w:tcW w:w="20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Nancy Curtin</w:t>
            </w:r>
          </w:p>
        </w:tc>
        <w:tc>
          <w:tcPr>
            <w:tcW w:w="20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7"/>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Patrick Keenan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42"/>
        </w:trPr>
        <w:tc>
          <w:tcPr>
            <w:tcW w:w="20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(Principal Financial and Principal Accounting Officer)</w:t>
            </w: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Patrick Keenan</w:t>
            </w:r>
          </w:p>
        </w:tc>
        <w:tc>
          <w:tcPr>
            <w:tcW w:w="20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Ali Bouzarif</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Ali Bouzarif</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Nazim Cetin</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Nazim Cetin</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Norma Corio</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Norma Corio</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Mark Furlong</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 Furlong</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Timothy Keaney</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Timothy Keaney</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Andreas Wimmer</w:t>
            </w:r>
          </w:p>
        </w:tc>
        <w:tc>
          <w:tcPr>
            <w:tcW w:w="20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2026</w:t>
            </w:r>
          </w:p>
        </w:tc>
        <w:tc>
          <w:tcPr>
            <w:tcW w:w="0" w:type="dxa"/>
            <w:vAlign w:val="bottom"/>
          </w:tcPr>
          <w:p>
            <w:pPr>
              <w:spacing w:after="0"/>
              <w:rPr>
                <w:sz w:val="1"/>
                <w:szCs w:val="1"/>
                <w:color w:val="auto"/>
              </w:rPr>
            </w:pPr>
          </w:p>
        </w:tc>
      </w:tr>
      <w:tr>
        <w:trPr>
          <w:trHeight w:val="25"/>
        </w:trPr>
        <w:tc>
          <w:tcPr>
            <w:tcW w:w="2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Andreas Wimmer</w:t>
            </w: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II-5</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7"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5.1</w:t>
      </w:r>
    </w:p>
    <w:p>
      <w:pPr>
        <w:spacing w:after="0" w:line="21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848A8E"/>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1627505"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627505" cy="360045"/>
                    </a:xfrm>
                    <a:prstGeom prst="rect">
                      <a:avLst/>
                    </a:prstGeom>
                    <a:noFill/>
                  </pic:spPr>
                </pic:pic>
              </a:graphicData>
            </a:graphic>
          </wp:anchor>
        </w:drawing>
      </w:r>
    </w:p>
    <w:p>
      <w:pPr>
        <w:ind w:left="7500"/>
        <w:spacing w:after="0" w:line="211" w:lineRule="auto"/>
        <w:rPr>
          <w:sz w:val="20"/>
          <w:szCs w:val="20"/>
          <w:color w:val="auto"/>
        </w:rPr>
      </w:pPr>
      <w:r>
        <w:rPr>
          <w:rFonts w:ascii="Times New Roman" w:cs="Times New Roman" w:eastAsia="Times New Roman" w:hAnsi="Times New Roman"/>
          <w:sz w:val="14"/>
          <w:szCs w:val="14"/>
          <w:color w:val="848A8E"/>
        </w:rPr>
        <w:t>100 Northern Avenue</w:t>
      </w:r>
    </w:p>
    <w:p>
      <w:pPr>
        <w:ind w:left="7500"/>
        <w:spacing w:after="0"/>
        <w:rPr>
          <w:sz w:val="20"/>
          <w:szCs w:val="20"/>
          <w:color w:val="auto"/>
        </w:rPr>
      </w:pPr>
      <w:r>
        <w:rPr>
          <w:rFonts w:ascii="Times New Roman" w:cs="Times New Roman" w:eastAsia="Times New Roman" w:hAnsi="Times New Roman"/>
          <w:sz w:val="14"/>
          <w:szCs w:val="14"/>
          <w:color w:val="848A8E"/>
        </w:rPr>
        <w:t>Boston, MA 02210</w:t>
      </w:r>
    </w:p>
    <w:p>
      <w:pPr>
        <w:spacing w:after="0" w:line="10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goodwinlaw.com</w:t>
      </w:r>
    </w:p>
    <w:p>
      <w:pPr>
        <w:ind w:left="7500"/>
        <w:spacing w:after="0" w:line="223" w:lineRule="auto"/>
        <w:rPr>
          <w:sz w:val="20"/>
          <w:szCs w:val="20"/>
          <w:color w:val="auto"/>
        </w:rPr>
      </w:pPr>
      <w:r>
        <w:rPr>
          <w:rFonts w:ascii="Times New Roman" w:cs="Times New Roman" w:eastAsia="Times New Roman" w:hAnsi="Times New Roman"/>
          <w:sz w:val="14"/>
          <w:szCs w:val="14"/>
          <w:color w:val="848A8E"/>
        </w:rPr>
        <w:t>+1 617 570 1000</w:t>
      </w: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 Global, Inc.</w:t>
      </w:r>
    </w:p>
    <w:p>
      <w:pPr>
        <w:spacing w:after="0" w:line="181" w:lineRule="auto"/>
        <w:rPr>
          <w:sz w:val="20"/>
          <w:szCs w:val="20"/>
          <w:color w:val="auto"/>
        </w:rPr>
      </w:pPr>
      <w:r>
        <w:rPr>
          <w:rFonts w:ascii="Times New Roman" w:cs="Times New Roman" w:eastAsia="Times New Roman" w:hAnsi="Times New Roman"/>
          <w:sz w:val="17"/>
          <w:szCs w:val="17"/>
          <w:color w:val="auto"/>
        </w:rPr>
        <w:t>22 Vanderbilt Avenue, 27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Securities Registered under Registration Statement on Form S-3</w:t>
      </w:r>
    </w:p>
    <w:p>
      <w:pPr>
        <w:spacing w:after="0" w:line="2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(File No. 333- ) (as amended or supplemented, the “Registration Statement”) filed on June 30, 2026 with the Securities and Exchange Commission (the “Commission”) pursuant to the Securities Act of 1933, as amended (the “Securities Act”), relating to the registration of the offering by the selling stockholders listed in the Registration Statement under “Selling Stockholders” (the “Selling Stockholders”) of up to 3,053,263 shares (the “Selling Stockholder Shares”) of Class A common stock, $0.0001 par value per share (“Common Stock”) of AlTi Global, Inc., a Delaware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-557530</wp:posOffset>
            </wp:positionV>
            <wp:extent cx="1727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72720" cy="8255"/>
                    </a:xfrm>
                    <a:prstGeom prst="rect">
                      <a:avLst/>
                    </a:prstGeom>
                    <a:noFill/>
                  </pic:spPr>
                </pic:pic>
              </a:graphicData>
            </a:graphic>
          </wp:anchor>
        </w:drawing>
      </w:r>
    </w:p>
    <w:p>
      <w:pPr>
        <w:spacing w:after="0" w:line="15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217" w:lineRule="exact"/>
        <w:rPr>
          <w:sz w:val="20"/>
          <w:szCs w:val="20"/>
          <w:color w:val="auto"/>
        </w:rPr>
      </w:pPr>
    </w:p>
    <w:p>
      <w:pPr>
        <w:ind w:right="980"/>
        <w:spacing w:after="0" w:line="228" w:lineRule="exact"/>
        <w:rPr>
          <w:sz w:val="20"/>
          <w:szCs w:val="20"/>
          <w:color w:val="auto"/>
        </w:rPr>
      </w:pPr>
      <w:r>
        <w:rPr>
          <w:rFonts w:ascii="Times New Roman" w:cs="Times New Roman" w:eastAsia="Times New Roman" w:hAnsi="Times New Roman"/>
          <w:sz w:val="17"/>
          <w:szCs w:val="17"/>
          <w:color w:val="auto"/>
        </w:rPr>
        <w:t>Based on the foregoing, we are of the opinion that the Selling Stockholder Shares have been duly authorized and validly issued and are fully paid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assessable.</w:t>
      </w:r>
    </w:p>
    <w:p>
      <w:pPr>
        <w:spacing w:after="0" w:line="160" w:lineRule="exact"/>
        <w:rPr>
          <w:sz w:val="20"/>
          <w:szCs w:val="20"/>
          <w:color w:val="auto"/>
        </w:rPr>
      </w:pPr>
    </w:p>
    <w:p>
      <w:pPr>
        <w:ind w:right="660"/>
        <w:spacing w:after="0" w:line="291"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4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Goodwin Procter LLP</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196850</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23.1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-113030</wp:posOffset>
            </wp:positionV>
            <wp:extent cx="776605" cy="310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76605" cy="31051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Suite 4000</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1735 Market Street</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Philadelphia, PA 19103-7501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7"/>
          <w:szCs w:val="17"/>
          <w:color w:val="auto"/>
        </w:rPr>
        <w:t>We consent to the use of our report dated March 31, 2026, with respect to the consolidated financial statements of AlTi Global, Inc., incorporated herein by reference, and to the reference to our firm under the heading "Experts" in the prospectus.</w:t>
      </w:r>
    </w:p>
    <w:p>
      <w:pPr>
        <w:spacing w:after="0" w:line="1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KPMG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6" w:name="page27"/>
    <w:bookmarkEnd w:id="26"/>
    <w:p>
      <w:pPr>
        <w:ind w:left="10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107</w:t>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S-3</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AlTi Global,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Fee</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100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c>
          <w:tcPr>
            <w:tcW w:w="0" w:type="dxa"/>
            <w:vAlign w:val="bottom"/>
          </w:tcPr>
          <w:p>
            <w:pPr>
              <w:spacing w:after="0"/>
              <w:rPr>
                <w:sz w:val="1"/>
                <w:szCs w:val="1"/>
                <w:color w:val="auto"/>
              </w:rPr>
            </w:pPr>
          </w:p>
        </w:tc>
      </w:tr>
      <w:tr>
        <w:trPr>
          <w:trHeight w:val="201"/>
        </w:trPr>
        <w:tc>
          <w:tcPr>
            <w:tcW w:w="8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Class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100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c>
          <w:tcPr>
            <w:tcW w:w="0" w:type="dxa"/>
            <w:vAlign w:val="bottom"/>
          </w:tcPr>
          <w:p>
            <w:pPr>
              <w:spacing w:after="0"/>
              <w:rPr>
                <w:sz w:val="1"/>
                <w:szCs w:val="1"/>
                <w:color w:val="auto"/>
              </w:rPr>
            </w:pPr>
          </w:p>
        </w:tc>
      </w:tr>
      <w:tr>
        <w:trPr>
          <w:trHeight w:val="258"/>
        </w:trPr>
        <w:tc>
          <w:tcPr>
            <w:tcW w:w="88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w:t>
            </w:r>
          </w:p>
        </w:tc>
        <w:tc>
          <w:tcPr>
            <w:tcW w:w="1000" w:type="dxa"/>
            <w:vAlign w:val="bottom"/>
            <w:tcBorders>
              <w:bottom w:val="single" w:sz="8" w:color="auto"/>
              <w:right w:val="single" w:sz="8" w:color="auto"/>
            </w:tcBorders>
          </w:tcPr>
          <w:p>
            <w:pPr>
              <w:jc w:val="right"/>
              <w:spacing w:after="0" w:line="257" w:lineRule="exact"/>
              <w:rPr>
                <w:sz w:val="20"/>
                <w:szCs w:val="20"/>
                <w:color w:val="auto"/>
              </w:rPr>
            </w:pPr>
            <w:r>
              <w:rPr>
                <w:rFonts w:ascii="Times New Roman" w:cs="Times New Roman" w:eastAsia="Times New Roman" w:hAnsi="Times New Roman"/>
                <w:sz w:val="17"/>
                <w:szCs w:val="17"/>
                <w:b w:val="1"/>
                <w:bCs w:val="1"/>
                <w:color w:val="auto"/>
                <w:w w:val="90"/>
              </w:rPr>
              <w:t>Registered</w:t>
            </w:r>
            <w:r>
              <w:rPr>
                <w:rFonts w:ascii="Times New Roman" w:cs="Times New Roman" w:eastAsia="Times New Roman" w:hAnsi="Times New Roman"/>
                <w:sz w:val="28"/>
                <w:szCs w:val="28"/>
                <w:b w:val="1"/>
                <w:bCs w:val="1"/>
                <w:color w:val="auto"/>
                <w:w w:val="90"/>
                <w:vertAlign w:val="superscript"/>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0" w:type="dxa"/>
            <w:vAlign w:val="bottom"/>
          </w:tcPr>
          <w:p>
            <w:pPr>
              <w:spacing w:after="0"/>
              <w:rPr>
                <w:sz w:val="1"/>
                <w:szCs w:val="1"/>
                <w:color w:val="auto"/>
              </w:rPr>
            </w:pPr>
          </w:p>
        </w:tc>
      </w:tr>
      <w:tr>
        <w:trPr>
          <w:trHeight w:val="199"/>
        </w:trPr>
        <w:tc>
          <w:tcPr>
            <w:tcW w:w="88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w w:val="99"/>
              </w:rPr>
              <w:t>Newly Registered Securities</w:t>
            </w:r>
          </w:p>
        </w:tc>
        <w:tc>
          <w:tcPr>
            <w:tcW w:w="1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94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Stock,</w:t>
            </w:r>
          </w:p>
        </w:tc>
        <w:tc>
          <w:tcPr>
            <w:tcW w:w="94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70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94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vMerge w:val="restart"/>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$3.17</w:t>
            </w:r>
            <w:r>
              <w:rPr>
                <w:rFonts w:ascii="Times New Roman" w:cs="Times New Roman" w:eastAsia="Times New Roman" w:hAnsi="Times New Roman"/>
                <w:sz w:val="28"/>
                <w:szCs w:val="28"/>
                <w:color w:val="auto"/>
                <w:vertAlign w:val="superscript"/>
              </w:rPr>
              <w:t>(2)</w:t>
            </w:r>
          </w:p>
        </w:tc>
        <w:tc>
          <w:tcPr>
            <w:tcW w:w="10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$0.0001</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 457(c)</w:t>
            </w:r>
          </w:p>
        </w:tc>
        <w:tc>
          <w:tcPr>
            <w:tcW w:w="1000" w:type="dxa"/>
            <w:vAlign w:val="bottom"/>
            <w:tcBorders>
              <w:bottom w:val="single" w:sz="8" w:color="auto"/>
              <w:right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3,053,263</w:t>
            </w:r>
          </w:p>
        </w:tc>
        <w:tc>
          <w:tcPr>
            <w:tcW w:w="78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$9,678,843.71</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$1,336.65</w:t>
            </w: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Previously</w:t>
            </w: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8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shd w:val="clear" w:color="auto" w:fill="CCEEFF"/>
          </w:tcPr>
          <w:p>
            <w:pPr>
              <w:spacing w:after="0"/>
              <w:rPr>
                <w:sz w:val="17"/>
                <w:szCs w:val="17"/>
                <w:color w:val="auto"/>
              </w:rPr>
            </w:pPr>
          </w:p>
        </w:tc>
        <w:tc>
          <w:tcPr>
            <w:tcW w:w="940" w:type="dxa"/>
            <w:vAlign w:val="bottom"/>
            <w:tcBorders>
              <w:bottom w:val="single" w:sz="8" w:color="auto"/>
              <w:right w:val="single" w:sz="8" w:color="CCEEFF"/>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spacing w:after="0"/>
              <w:rPr>
                <w:sz w:val="17"/>
                <w:szCs w:val="17"/>
                <w:color w:val="auto"/>
              </w:rPr>
            </w:pPr>
          </w:p>
        </w:tc>
        <w:tc>
          <w:tcPr>
            <w:tcW w:w="2620" w:type="dxa"/>
            <w:vAlign w:val="bottom"/>
            <w:tcBorders>
              <w:bottom w:val="single" w:sz="8" w:color="auto"/>
              <w:right w:val="single" w:sz="8" w:color="CCEEFF"/>
            </w:tcBorders>
            <w:gridSpan w:val="3"/>
            <w:shd w:val="clear" w:color="auto" w:fill="CCEEFF"/>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110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8"/>
              </w:rPr>
              <w:t>Total Offering Amounts: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$9,678,843.71</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$1,336.65</w:t>
            </w: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78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1940" w:type="dxa"/>
            <w:vAlign w:val="bottom"/>
            <w:tcBorders>
              <w:bottom w:val="single" w:sz="8" w:color="CCEEFF"/>
              <w:right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88"/>
              </w:rPr>
              <w:t>Net Fee Due:</w:t>
            </w:r>
          </w:p>
        </w:tc>
        <w:tc>
          <w:tcPr>
            <w:tcW w:w="78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$1,336.65</w:t>
            </w:r>
          </w:p>
        </w:tc>
        <w:tc>
          <w:tcPr>
            <w:tcW w:w="86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b w:val="1"/>
          <w:bCs w:val="1"/>
          <w:color w:val="auto"/>
        </w:rPr>
        <w:t>Offering Note</w:t>
      </w:r>
    </w:p>
    <w:p>
      <w:pPr>
        <w:spacing w:after="0" w:line="20" w:lineRule="exact"/>
        <w:rPr>
          <w:sz w:val="20"/>
          <w:szCs w:val="20"/>
          <w:color w:val="auto"/>
        </w:rPr>
      </w:pPr>
    </w:p>
    <w:p>
      <w:pPr>
        <w:jc w:val="both"/>
        <w:ind w:left="300" w:right="180" w:hanging="297"/>
        <w:spacing w:after="0" w:line="269"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of 1933, as amended (the “Securities Act”), this Registration Statement shall also cover any additional shares of the Registrant’s common stock, par value $0.001 per share (“Common Stock”), in connection with any stock dividend, stock split, recapitalization or other similar transaction effected without receipt of consideration that increases the number of outstanding shares of Common Stock.</w:t>
      </w:r>
    </w:p>
    <w:p>
      <w:pPr>
        <w:spacing w:after="0" w:line="50" w:lineRule="exact"/>
        <w:rPr>
          <w:rFonts w:ascii="Times New Roman" w:cs="Times New Roman" w:eastAsia="Times New Roman" w:hAnsi="Times New Roman"/>
          <w:sz w:val="17"/>
          <w:szCs w:val="17"/>
          <w:color w:val="auto"/>
        </w:rPr>
      </w:pPr>
    </w:p>
    <w:p>
      <w:pPr>
        <w:ind w:left="300" w:right="200" w:hanging="297"/>
        <w:spacing w:after="0" w:line="286"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estimate is made pursuant to Rule 457(c) of the Securities Act solely for purposes of calculating the registration fee. The price per share and aggregate offering price are based upon the average of the high and low prices of the Common Stock on June 24, 2026,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sectPr>
      <w:pgSz w:w="11900" w:h="16838" w:orient="portrait"/>
      <w:cols w:equalWidth="0" w:num="1">
        <w:col w:w="11340"/>
      </w:cols>
      <w:pgMar w:left="320" w:top="2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1BEFD79F"/>
    <w:multiLevelType w:val="hybridMultilevel"/>
    <w:lvl w:ilvl="0">
      <w:lvlJc w:val="left"/>
      <w:lvlText w:val="%1"/>
      <w:numFmt w:val="decimal"/>
      <w:start w:val="1"/>
    </w:lvl>
    <w:lvl w:ilvl="1">
      <w:lvlJc w:val="left"/>
      <w:lvlText w:val="(%2)"/>
      <w:numFmt w:val="lowerRoman"/>
      <w:start w:val="3"/>
    </w:lvl>
  </w:abstractNum>
  <w:abstractNum w:abstractNumId="13">
    <w:nsid w:val="41A7C4C9"/>
    <w:multiLevelType w:val="hybridMultilevel"/>
    <w:lvl w:ilvl="0">
      <w:lvlJc w:val="left"/>
      <w:lvlText w:val="(%1)"/>
      <w:numFmt w:val="decimal"/>
      <w:start w:val="2"/>
    </w:lvl>
    <w:lvl w:ilvl="1">
      <w:lvlJc w:val="left"/>
      <w:lvlText w:val="%2"/>
      <w:numFmt w:val="lowerRoman"/>
      <w:start w:val="1"/>
    </w:lvl>
  </w:abstractNum>
  <w:abstractNum w:abstractNumId="14">
    <w:nsid w:val="6B68079A"/>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5">
    <w:nsid w:val="4E6AFB6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jpe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jpe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jpe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39" Type="http://schemas.openxmlformats.org/officeDocument/2006/relationships/hyperlink" Target="https://www.sec.gov/Archives/edgar/data/1838615/000162828026022450/alti-20251231.htm" TargetMode="External"/><Relationship Id="rId40" Type="http://schemas.openxmlformats.org/officeDocument/2006/relationships/hyperlink" Target="https://www.sec.gov/ix?doc=/Archives/edgar/data/1838615/000114036126018294/ny20066517x1_def14a.htm" TargetMode="External"/><Relationship Id="rId41" Type="http://schemas.openxmlformats.org/officeDocument/2006/relationships/hyperlink" Target="https://www.sec.gov/Archives/edgar/data/1838615/000114036126018409/ny20066517x4_defa14a.htm" TargetMode="External"/><Relationship Id="rId42" Type="http://schemas.openxmlformats.org/officeDocument/2006/relationships/hyperlink" Target="https://www.sec.gov/Archives/edgar/data/1838615/000114036126023315/ef20075188_defa14a.htm" TargetMode="External"/><Relationship Id="rId43" Type="http://schemas.openxmlformats.org/officeDocument/2006/relationships/hyperlink" Target="https://www.sec.gov/Archives/edgar/data/1838615/000162828026033621/alti-20260331.htm" TargetMode="External"/><Relationship Id="rId44" Type="http://schemas.openxmlformats.org/officeDocument/2006/relationships/hyperlink" Target="https://www.sec.gov/Archives/edgar/data/1838615/000114036126012146/ef20069354_8k.htm" TargetMode="External"/><Relationship Id="rId45" Type="http://schemas.openxmlformats.org/officeDocument/2006/relationships/hyperlink" Target="https://www.sec.gov/ix?doc=/Archives/edgar/data/1838615/000114036126025666/ef20076453_8k.htm" TargetMode="External"/><Relationship Id="rId46" Type="http://schemas.openxmlformats.org/officeDocument/2006/relationships/hyperlink" Target="https://www.sec.gov/ix?doc=/Archives/edgar/data/1838615/000162828026045487/alti-20260623.htm" TargetMode="External"/><Relationship Id="rId59" Type="http://schemas.openxmlformats.org/officeDocument/2006/relationships/hyperlink" Target="https://www.sec.gov/Archives/edgar/data/1838615/000119312523004775/d431644dex31.htm" TargetMode="External"/><Relationship Id="rId60" Type="http://schemas.openxmlformats.org/officeDocument/2006/relationships/hyperlink" Target="https://www.sec.gov/Archives/edgar/data/1838615/000162828024033750/exhibit31-seriesacertifi.htm" TargetMode="External"/><Relationship Id="rId61" Type="http://schemas.openxmlformats.org/officeDocument/2006/relationships/hyperlink" Target="https://www.sec.gov/Archives/edgar/data/1838615/000162828024015033/ex33altigolbalincbylaws.htm" TargetMode="External"/><Relationship Id="rId62" Type="http://schemas.openxmlformats.org/officeDocument/2006/relationships/hyperlink" Target="https://www.sec.gov/Archives/edgar/data/1838615/000162828026022450/exhibit-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2026-06-30T07:02:31Z</dcterms:created>
  <dcterms:modified xsi:type="dcterms:W3CDTF">2026-06-30T07:02:31Z</dcterms:modified>
</cp:coreProperties>
</file>