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320"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-184150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-537845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6080" w:type="dxa"/>
            <w:vAlign w:val="bottom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62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80" w:type="dxa"/>
            <w:vAlign w:val="bottom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5135880</wp:posOffset>
            </wp:positionH>
            <wp:positionV relativeFrom="paragraph">
              <wp:posOffset>-582930</wp:posOffset>
            </wp:positionV>
            <wp:extent cx="55880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3850005</wp:posOffset>
            </wp:positionH>
            <wp:positionV relativeFrom="paragraph">
              <wp:posOffset>-582930</wp:posOffset>
            </wp:positionV>
            <wp:extent cx="55880" cy="596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-1779905</wp:posOffset>
            </wp:positionH>
            <wp:positionV relativeFrom="paragraph">
              <wp:posOffset>614680</wp:posOffset>
            </wp:positionV>
            <wp:extent cx="7002780" cy="4392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780" cy="439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80"/>
            <w:col w:w="8300"/>
          </w:cols>
          <w:pgMar w:left="460" w:top="21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5. Relationship of Reporting Person(s) to Issuer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Keaney Timothy F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96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AlTi Global,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ALTI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ALTI GLOBAL, INC.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 VANDERBILT AVE, 27TH FLOOR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jc w:val="center"/>
              <w:ind w:righ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06/16/2026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47,495.32</w:t>
            </w: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207,679.72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47,495.32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06/16/2026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47,495.32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53,683.645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06/17/2026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53,683.645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53,683.645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2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Each restricted stock unit represents a contingent right to receive one share of AlTi Global, Inc. Class A Common Stock.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0" w:type="dxa"/>
            <w:vAlign w:val="bottom"/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  <w:w w:val="99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0" w:type="dxa"/>
            <w:vAlign w:val="bottom"/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  <w:w w:val="99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Colleen Graham, Attorney-in-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12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2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-2828925</wp:posOffset>
            </wp:positionV>
            <wp:extent cx="27940" cy="1744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4140" w:hanging="8"/>
        <w:spacing w:after="0" w:line="3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329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2026-06-18T15:21:17Z</dcterms:created>
  <dcterms:modified xsi:type="dcterms:W3CDTF">2026-06-18T15:21:17Z</dcterms:modified>
</cp:coreProperties>
</file>